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CFBD" w14:textId="77777777" w:rsidR="00DD3C3B" w:rsidRDefault="00EE2DF5">
      <w:pPr>
        <w:pStyle w:val="Title"/>
      </w:pPr>
      <w:bookmarkStart w:id="0" w:name="_o3ooqh8d2493" w:colFirst="0" w:colLast="0"/>
      <w:bookmarkEnd w:id="0"/>
      <w:r>
        <w:t>ISD and IESBVI Organization Profile</w:t>
      </w:r>
    </w:p>
    <w:p w14:paraId="2B2A4341" w14:textId="77777777" w:rsidR="00DD3C3B" w:rsidRDefault="00DD3C3B"/>
    <w:p w14:paraId="0F62D3EE" w14:textId="77777777" w:rsidR="00DD3C3B" w:rsidRDefault="00DD3C3B"/>
    <w:p w14:paraId="5D691798" w14:textId="77777777" w:rsidR="00DD3C3B" w:rsidRDefault="00EE2DF5">
      <w:r>
        <w:t>Table of Contents</w:t>
      </w:r>
    </w:p>
    <w:p w14:paraId="23BAFCA9" w14:textId="77777777" w:rsidR="00DD3C3B" w:rsidRDefault="00DD3C3B"/>
    <w:sdt>
      <w:sdtPr>
        <w:id w:val="-1216963376"/>
        <w:docPartObj>
          <w:docPartGallery w:val="Table of Contents"/>
          <w:docPartUnique/>
        </w:docPartObj>
      </w:sdtPr>
      <w:sdtEndPr/>
      <w:sdtContent>
        <w:p w14:paraId="577B9C16" w14:textId="77777777" w:rsidR="00DD3C3B" w:rsidRDefault="00EE2DF5">
          <w:pPr>
            <w:widowControl w:val="0"/>
            <w:tabs>
              <w:tab w:val="righ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thz2z4s01sci">
            <w:r>
              <w:rPr>
                <w:b/>
                <w:color w:val="000000"/>
              </w:rPr>
              <w:t>Summary</w:t>
            </w:r>
            <w:r>
              <w:rPr>
                <w:b/>
                <w:color w:val="000000"/>
              </w:rPr>
              <w:tab/>
              <w:t>2</w:t>
            </w:r>
          </w:hyperlink>
        </w:p>
        <w:p w14:paraId="3C1FD6C7" w14:textId="77777777" w:rsidR="00DD3C3B" w:rsidRDefault="00F966D9">
          <w:pPr>
            <w:widowControl w:val="0"/>
            <w:tabs>
              <w:tab w:val="right" w:pos="12000"/>
            </w:tabs>
            <w:spacing w:before="60" w:line="240" w:lineRule="auto"/>
            <w:ind w:left="360"/>
            <w:rPr>
              <w:color w:val="000000"/>
            </w:rPr>
          </w:pPr>
          <w:hyperlink w:anchor="_i16d0u40envy">
            <w:r w:rsidR="00EE2DF5">
              <w:rPr>
                <w:color w:val="000000"/>
              </w:rPr>
              <w:t>Iowa Education Services for the Blind and Visually Impaired (IESBVI)</w:t>
            </w:r>
            <w:r w:rsidR="00EE2DF5">
              <w:rPr>
                <w:color w:val="000000"/>
              </w:rPr>
              <w:tab/>
              <w:t>2</w:t>
            </w:r>
          </w:hyperlink>
        </w:p>
        <w:p w14:paraId="2C7F6184" w14:textId="77777777" w:rsidR="00DD3C3B" w:rsidRDefault="00F966D9">
          <w:pPr>
            <w:widowControl w:val="0"/>
            <w:tabs>
              <w:tab w:val="right" w:pos="12000"/>
            </w:tabs>
            <w:spacing w:before="60" w:line="240" w:lineRule="auto"/>
            <w:ind w:left="720"/>
            <w:rPr>
              <w:color w:val="000000"/>
            </w:rPr>
          </w:pPr>
          <w:hyperlink w:anchor="_45l0o5utys4h">
            <w:r w:rsidR="00EE2DF5">
              <w:rPr>
                <w:color w:val="000000"/>
              </w:rPr>
              <w:t>Mission</w:t>
            </w:r>
            <w:r w:rsidR="00EE2DF5">
              <w:rPr>
                <w:color w:val="000000"/>
              </w:rPr>
              <w:tab/>
              <w:t>2</w:t>
            </w:r>
          </w:hyperlink>
        </w:p>
        <w:p w14:paraId="2DCCDAE6" w14:textId="77777777" w:rsidR="00DD3C3B" w:rsidRDefault="00F966D9">
          <w:pPr>
            <w:widowControl w:val="0"/>
            <w:tabs>
              <w:tab w:val="right" w:pos="12000"/>
            </w:tabs>
            <w:spacing w:before="60" w:line="240" w:lineRule="auto"/>
            <w:ind w:left="720"/>
            <w:rPr>
              <w:color w:val="000000"/>
            </w:rPr>
          </w:pPr>
          <w:hyperlink w:anchor="_8xy0dak9shu">
            <w:r w:rsidR="00EE2DF5">
              <w:rPr>
                <w:color w:val="000000"/>
              </w:rPr>
              <w:t>Vision</w:t>
            </w:r>
            <w:r w:rsidR="00EE2DF5">
              <w:rPr>
                <w:color w:val="000000"/>
              </w:rPr>
              <w:tab/>
              <w:t>2</w:t>
            </w:r>
          </w:hyperlink>
        </w:p>
        <w:p w14:paraId="26F66A25" w14:textId="77777777" w:rsidR="00DD3C3B" w:rsidRDefault="00F966D9">
          <w:pPr>
            <w:widowControl w:val="0"/>
            <w:tabs>
              <w:tab w:val="right" w:pos="12000"/>
            </w:tabs>
            <w:spacing w:before="60" w:line="240" w:lineRule="auto"/>
            <w:ind w:left="720"/>
            <w:rPr>
              <w:color w:val="000000"/>
            </w:rPr>
          </w:pPr>
          <w:hyperlink w:anchor="_pfiymvk19oe0">
            <w:r w:rsidR="00EE2DF5">
              <w:rPr>
                <w:color w:val="000000"/>
              </w:rPr>
              <w:t>Goals</w:t>
            </w:r>
            <w:r w:rsidR="00EE2DF5">
              <w:rPr>
                <w:color w:val="000000"/>
              </w:rPr>
              <w:tab/>
              <w:t>2</w:t>
            </w:r>
          </w:hyperlink>
        </w:p>
        <w:p w14:paraId="5652D6F2" w14:textId="77777777" w:rsidR="00DD3C3B" w:rsidRDefault="00F966D9">
          <w:pPr>
            <w:widowControl w:val="0"/>
            <w:tabs>
              <w:tab w:val="right" w:pos="12000"/>
            </w:tabs>
            <w:spacing w:before="60" w:line="240" w:lineRule="auto"/>
            <w:ind w:left="720"/>
            <w:rPr>
              <w:color w:val="000000"/>
            </w:rPr>
          </w:pPr>
          <w:hyperlink w:anchor="_bknk73hy1x8p">
            <w:r w:rsidR="00EE2DF5">
              <w:rPr>
                <w:color w:val="000000"/>
              </w:rPr>
              <w:t>Core Values</w:t>
            </w:r>
            <w:r w:rsidR="00EE2DF5">
              <w:rPr>
                <w:color w:val="000000"/>
              </w:rPr>
              <w:tab/>
              <w:t>2</w:t>
            </w:r>
          </w:hyperlink>
        </w:p>
        <w:p w14:paraId="430CE305" w14:textId="77777777" w:rsidR="00DD3C3B" w:rsidRDefault="00F966D9">
          <w:pPr>
            <w:widowControl w:val="0"/>
            <w:tabs>
              <w:tab w:val="right" w:pos="12000"/>
            </w:tabs>
            <w:spacing w:before="60" w:line="240" w:lineRule="auto"/>
            <w:ind w:left="720"/>
            <w:rPr>
              <w:color w:val="000000"/>
            </w:rPr>
          </w:pPr>
          <w:hyperlink w:anchor="_aaaczw9nzqe9">
            <w:r w:rsidR="00EE2DF5">
              <w:rPr>
                <w:color w:val="000000"/>
              </w:rPr>
              <w:t>Guiding principles ( educational philosophy)</w:t>
            </w:r>
            <w:r w:rsidR="00EE2DF5">
              <w:rPr>
                <w:color w:val="000000"/>
              </w:rPr>
              <w:tab/>
              <w:t>3</w:t>
            </w:r>
          </w:hyperlink>
        </w:p>
        <w:p w14:paraId="606E203D" w14:textId="77777777" w:rsidR="00DD3C3B" w:rsidRDefault="00F966D9">
          <w:pPr>
            <w:widowControl w:val="0"/>
            <w:tabs>
              <w:tab w:val="right" w:pos="12000"/>
            </w:tabs>
            <w:spacing w:before="60" w:line="240" w:lineRule="auto"/>
            <w:ind w:left="720"/>
            <w:rPr>
              <w:color w:val="000000"/>
            </w:rPr>
          </w:pPr>
          <w:hyperlink w:anchor="_53bi35gwjv6a">
            <w:r w:rsidR="00EE2DF5">
              <w:rPr>
                <w:color w:val="000000"/>
              </w:rPr>
              <w:t>Student Demographics</w:t>
            </w:r>
            <w:r w:rsidR="00EE2DF5">
              <w:rPr>
                <w:color w:val="000000"/>
              </w:rPr>
              <w:tab/>
              <w:t>3</w:t>
            </w:r>
          </w:hyperlink>
        </w:p>
        <w:p w14:paraId="7BD7B3CD" w14:textId="77777777" w:rsidR="00DD3C3B" w:rsidRDefault="00F966D9">
          <w:pPr>
            <w:widowControl w:val="0"/>
            <w:tabs>
              <w:tab w:val="right" w:pos="12000"/>
            </w:tabs>
            <w:spacing w:before="60" w:line="240" w:lineRule="auto"/>
            <w:ind w:left="720"/>
            <w:rPr>
              <w:color w:val="000000"/>
            </w:rPr>
          </w:pPr>
          <w:hyperlink w:anchor="_75a8tgibu5zm">
            <w:r w:rsidR="00EE2DF5">
              <w:rPr>
                <w:color w:val="000000"/>
              </w:rPr>
              <w:t>Staff demographics</w:t>
            </w:r>
            <w:r w:rsidR="00EE2DF5">
              <w:rPr>
                <w:color w:val="000000"/>
              </w:rPr>
              <w:tab/>
              <w:t>4</w:t>
            </w:r>
          </w:hyperlink>
        </w:p>
        <w:p w14:paraId="1D19B20A" w14:textId="77777777" w:rsidR="00DD3C3B" w:rsidRDefault="00F966D9">
          <w:pPr>
            <w:widowControl w:val="0"/>
            <w:tabs>
              <w:tab w:val="right" w:pos="12000"/>
            </w:tabs>
            <w:spacing w:before="60" w:line="240" w:lineRule="auto"/>
            <w:ind w:left="720"/>
            <w:rPr>
              <w:color w:val="000000"/>
            </w:rPr>
          </w:pPr>
          <w:hyperlink w:anchor="_ccmvwm8znwrn">
            <w:r w:rsidR="00EE2DF5">
              <w:rPr>
                <w:color w:val="000000"/>
              </w:rPr>
              <w:t>History</w:t>
            </w:r>
            <w:r w:rsidR="00EE2DF5">
              <w:rPr>
                <w:color w:val="000000"/>
              </w:rPr>
              <w:tab/>
              <w:t>4</w:t>
            </w:r>
          </w:hyperlink>
        </w:p>
        <w:p w14:paraId="7DCFF921" w14:textId="77777777" w:rsidR="00DD3C3B" w:rsidRDefault="00F966D9">
          <w:pPr>
            <w:widowControl w:val="0"/>
            <w:tabs>
              <w:tab w:val="right" w:pos="12000"/>
            </w:tabs>
            <w:spacing w:before="60" w:line="240" w:lineRule="auto"/>
            <w:ind w:left="360"/>
            <w:rPr>
              <w:color w:val="000000"/>
            </w:rPr>
          </w:pPr>
          <w:hyperlink w:anchor="_krc9r38umuw1">
            <w:r w:rsidR="00EE2DF5">
              <w:rPr>
                <w:color w:val="000000"/>
              </w:rPr>
              <w:t>Iowa School for the Deaf (ISD)</w:t>
            </w:r>
            <w:r w:rsidR="00EE2DF5">
              <w:rPr>
                <w:color w:val="000000"/>
              </w:rPr>
              <w:tab/>
              <w:t>5</w:t>
            </w:r>
          </w:hyperlink>
        </w:p>
        <w:p w14:paraId="2E955C7A" w14:textId="77777777" w:rsidR="00DD3C3B" w:rsidRDefault="00F966D9">
          <w:pPr>
            <w:widowControl w:val="0"/>
            <w:tabs>
              <w:tab w:val="right" w:pos="12000"/>
            </w:tabs>
            <w:spacing w:before="60" w:line="240" w:lineRule="auto"/>
            <w:ind w:left="720"/>
            <w:rPr>
              <w:color w:val="000000"/>
            </w:rPr>
          </w:pPr>
          <w:hyperlink w:anchor="_6essc3g2wae">
            <w:r w:rsidR="00EE2DF5">
              <w:rPr>
                <w:color w:val="000000"/>
              </w:rPr>
              <w:t>Mission</w:t>
            </w:r>
            <w:r w:rsidR="00EE2DF5">
              <w:rPr>
                <w:color w:val="000000"/>
              </w:rPr>
              <w:tab/>
              <w:t>5</w:t>
            </w:r>
          </w:hyperlink>
        </w:p>
        <w:p w14:paraId="330986F8" w14:textId="77777777" w:rsidR="00DD3C3B" w:rsidRDefault="00F966D9">
          <w:pPr>
            <w:widowControl w:val="0"/>
            <w:tabs>
              <w:tab w:val="right" w:pos="12000"/>
            </w:tabs>
            <w:spacing w:before="60" w:line="240" w:lineRule="auto"/>
            <w:ind w:left="720"/>
            <w:rPr>
              <w:color w:val="000000"/>
            </w:rPr>
          </w:pPr>
          <w:hyperlink w:anchor="_kfh4hlc1aozf">
            <w:r w:rsidR="00EE2DF5">
              <w:rPr>
                <w:color w:val="000000"/>
              </w:rPr>
              <w:t>Vision</w:t>
            </w:r>
            <w:r w:rsidR="00EE2DF5">
              <w:rPr>
                <w:color w:val="000000"/>
              </w:rPr>
              <w:tab/>
              <w:t>5</w:t>
            </w:r>
          </w:hyperlink>
        </w:p>
        <w:p w14:paraId="0F8B98FC" w14:textId="77777777" w:rsidR="00DD3C3B" w:rsidRDefault="00F966D9">
          <w:pPr>
            <w:widowControl w:val="0"/>
            <w:tabs>
              <w:tab w:val="right" w:pos="12000"/>
            </w:tabs>
            <w:spacing w:before="60" w:line="240" w:lineRule="auto"/>
            <w:ind w:left="720"/>
            <w:rPr>
              <w:color w:val="000000"/>
            </w:rPr>
          </w:pPr>
          <w:hyperlink w:anchor="_s6fzrramogup">
            <w:r w:rsidR="00EE2DF5">
              <w:rPr>
                <w:color w:val="000000"/>
              </w:rPr>
              <w:t>Goals</w:t>
            </w:r>
            <w:r w:rsidR="00EE2DF5">
              <w:rPr>
                <w:color w:val="000000"/>
              </w:rPr>
              <w:tab/>
              <w:t>5</w:t>
            </w:r>
          </w:hyperlink>
        </w:p>
        <w:p w14:paraId="7978BA8F" w14:textId="77777777" w:rsidR="00DD3C3B" w:rsidRDefault="00F966D9">
          <w:pPr>
            <w:widowControl w:val="0"/>
            <w:tabs>
              <w:tab w:val="right" w:pos="12000"/>
            </w:tabs>
            <w:spacing w:before="60" w:line="240" w:lineRule="auto"/>
            <w:ind w:left="720"/>
            <w:rPr>
              <w:color w:val="000000"/>
            </w:rPr>
          </w:pPr>
          <w:hyperlink w:anchor="_uabayfi8puos">
            <w:r w:rsidR="00EE2DF5">
              <w:rPr>
                <w:color w:val="000000"/>
              </w:rPr>
              <w:t>Core values</w:t>
            </w:r>
            <w:r w:rsidR="00EE2DF5">
              <w:rPr>
                <w:color w:val="000000"/>
              </w:rPr>
              <w:tab/>
              <w:t>5</w:t>
            </w:r>
          </w:hyperlink>
        </w:p>
        <w:p w14:paraId="2799F6F0" w14:textId="77777777" w:rsidR="00DD3C3B" w:rsidRDefault="00F966D9">
          <w:pPr>
            <w:widowControl w:val="0"/>
            <w:tabs>
              <w:tab w:val="right" w:pos="12000"/>
            </w:tabs>
            <w:spacing w:before="60" w:line="240" w:lineRule="auto"/>
            <w:ind w:left="720"/>
            <w:rPr>
              <w:color w:val="000000"/>
            </w:rPr>
          </w:pPr>
          <w:hyperlink w:anchor="_1x017iooeaye">
            <w:r w:rsidR="00EE2DF5">
              <w:rPr>
                <w:color w:val="000000"/>
              </w:rPr>
              <w:t>Guiding principles</w:t>
            </w:r>
            <w:r w:rsidR="00EE2DF5">
              <w:rPr>
                <w:color w:val="000000"/>
              </w:rPr>
              <w:tab/>
              <w:t>6</w:t>
            </w:r>
          </w:hyperlink>
        </w:p>
        <w:p w14:paraId="58A319BF" w14:textId="77777777" w:rsidR="00DD3C3B" w:rsidRDefault="00F966D9">
          <w:pPr>
            <w:widowControl w:val="0"/>
            <w:tabs>
              <w:tab w:val="right" w:pos="12000"/>
            </w:tabs>
            <w:spacing w:before="60" w:line="240" w:lineRule="auto"/>
            <w:ind w:left="720"/>
            <w:rPr>
              <w:color w:val="000000"/>
            </w:rPr>
          </w:pPr>
          <w:hyperlink w:anchor="_955ue5m2fkw9">
            <w:r w:rsidR="00EE2DF5">
              <w:rPr>
                <w:color w:val="000000"/>
              </w:rPr>
              <w:t>Student Demographics</w:t>
            </w:r>
            <w:r w:rsidR="00EE2DF5">
              <w:rPr>
                <w:color w:val="000000"/>
              </w:rPr>
              <w:tab/>
              <w:t>6</w:t>
            </w:r>
          </w:hyperlink>
        </w:p>
        <w:p w14:paraId="041F95F3" w14:textId="77777777" w:rsidR="00DD3C3B" w:rsidRDefault="00F966D9">
          <w:pPr>
            <w:widowControl w:val="0"/>
            <w:tabs>
              <w:tab w:val="right" w:pos="12000"/>
            </w:tabs>
            <w:spacing w:before="60" w:line="240" w:lineRule="auto"/>
            <w:ind w:left="720"/>
            <w:rPr>
              <w:color w:val="000000"/>
            </w:rPr>
          </w:pPr>
          <w:hyperlink w:anchor="_yjymaqw0ju3h">
            <w:r w:rsidR="00EE2DF5">
              <w:rPr>
                <w:color w:val="000000"/>
              </w:rPr>
              <w:t>Staff demographics</w:t>
            </w:r>
            <w:r w:rsidR="00EE2DF5">
              <w:rPr>
                <w:color w:val="000000"/>
              </w:rPr>
              <w:tab/>
              <w:t>7</w:t>
            </w:r>
          </w:hyperlink>
        </w:p>
        <w:p w14:paraId="4AC82B6C" w14:textId="77777777" w:rsidR="00DD3C3B" w:rsidRDefault="00F966D9">
          <w:pPr>
            <w:widowControl w:val="0"/>
            <w:tabs>
              <w:tab w:val="right" w:pos="12000"/>
            </w:tabs>
            <w:spacing w:before="60" w:line="240" w:lineRule="auto"/>
            <w:ind w:left="720"/>
            <w:rPr>
              <w:color w:val="000000"/>
            </w:rPr>
          </w:pPr>
          <w:hyperlink w:anchor="_xp4du5npt8ag">
            <w:r w:rsidR="00EE2DF5">
              <w:rPr>
                <w:color w:val="000000"/>
              </w:rPr>
              <w:t>History</w:t>
            </w:r>
            <w:r w:rsidR="00EE2DF5">
              <w:rPr>
                <w:color w:val="000000"/>
              </w:rPr>
              <w:tab/>
              <w:t>7</w:t>
            </w:r>
          </w:hyperlink>
        </w:p>
        <w:p w14:paraId="7C36A526" w14:textId="77777777" w:rsidR="00DD3C3B" w:rsidRDefault="00F966D9">
          <w:pPr>
            <w:widowControl w:val="0"/>
            <w:tabs>
              <w:tab w:val="right" w:pos="12000"/>
            </w:tabs>
            <w:spacing w:before="60" w:line="240" w:lineRule="auto"/>
            <w:ind w:left="720"/>
            <w:rPr>
              <w:color w:val="000000"/>
            </w:rPr>
          </w:pPr>
          <w:hyperlink w:anchor="_gh995z67by4k">
            <w:r w:rsidR="00EE2DF5">
              <w:rPr>
                <w:color w:val="000000"/>
              </w:rPr>
              <w:t>Diversity Statement</w:t>
            </w:r>
            <w:r w:rsidR="00EE2DF5">
              <w:rPr>
                <w:color w:val="000000"/>
              </w:rPr>
              <w:tab/>
              <w:t>7</w:t>
            </w:r>
          </w:hyperlink>
        </w:p>
        <w:p w14:paraId="576A979E" w14:textId="77777777" w:rsidR="00DD3C3B" w:rsidRDefault="00F966D9">
          <w:pPr>
            <w:widowControl w:val="0"/>
            <w:tabs>
              <w:tab w:val="right" w:pos="12000"/>
            </w:tabs>
            <w:spacing w:before="60" w:line="240" w:lineRule="auto"/>
            <w:rPr>
              <w:b/>
              <w:color w:val="000000"/>
            </w:rPr>
          </w:pPr>
          <w:hyperlink w:anchor="_wh0kvrpoaq72">
            <w:r w:rsidR="00EE2DF5">
              <w:rPr>
                <w:b/>
                <w:color w:val="000000"/>
              </w:rPr>
              <w:t>Programs and Services</w:t>
            </w:r>
            <w:r w:rsidR="00EE2DF5">
              <w:rPr>
                <w:b/>
                <w:color w:val="000000"/>
              </w:rPr>
              <w:tab/>
              <w:t>8</w:t>
            </w:r>
          </w:hyperlink>
        </w:p>
        <w:p w14:paraId="2F476922" w14:textId="77777777" w:rsidR="00DD3C3B" w:rsidRDefault="00F966D9">
          <w:pPr>
            <w:widowControl w:val="0"/>
            <w:tabs>
              <w:tab w:val="right" w:pos="12000"/>
            </w:tabs>
            <w:spacing w:before="60" w:line="240" w:lineRule="auto"/>
            <w:ind w:left="360"/>
            <w:rPr>
              <w:color w:val="000000"/>
            </w:rPr>
          </w:pPr>
          <w:hyperlink w:anchor="_hzc879e2dskb">
            <w:r w:rsidR="00EE2DF5">
              <w:rPr>
                <w:color w:val="000000"/>
              </w:rPr>
              <w:t>ISD</w:t>
            </w:r>
            <w:r w:rsidR="00EE2DF5">
              <w:rPr>
                <w:color w:val="000000"/>
              </w:rPr>
              <w:tab/>
              <w:t>8</w:t>
            </w:r>
          </w:hyperlink>
        </w:p>
        <w:p w14:paraId="619903EF" w14:textId="77777777" w:rsidR="00DD3C3B" w:rsidRDefault="00F966D9">
          <w:pPr>
            <w:widowControl w:val="0"/>
            <w:tabs>
              <w:tab w:val="right" w:pos="12000"/>
            </w:tabs>
            <w:spacing w:before="60" w:line="240" w:lineRule="auto"/>
            <w:ind w:left="360"/>
            <w:rPr>
              <w:color w:val="000000"/>
            </w:rPr>
          </w:pPr>
          <w:hyperlink w:anchor="_argtol2hjrjf">
            <w:r w:rsidR="00EE2DF5">
              <w:rPr>
                <w:color w:val="000000"/>
              </w:rPr>
              <w:t>IESBVI</w:t>
            </w:r>
            <w:r w:rsidR="00EE2DF5">
              <w:rPr>
                <w:color w:val="000000"/>
              </w:rPr>
              <w:tab/>
              <w:t>8</w:t>
            </w:r>
          </w:hyperlink>
        </w:p>
        <w:p w14:paraId="4638C5B6" w14:textId="77777777" w:rsidR="00DD3C3B" w:rsidRDefault="00F966D9">
          <w:pPr>
            <w:widowControl w:val="0"/>
            <w:tabs>
              <w:tab w:val="right" w:pos="12000"/>
            </w:tabs>
            <w:spacing w:before="60" w:line="240" w:lineRule="auto"/>
            <w:rPr>
              <w:b/>
              <w:color w:val="000000"/>
            </w:rPr>
          </w:pPr>
          <w:hyperlink w:anchor="_chqpn9sexxgv">
            <w:r w:rsidR="00EE2DF5">
              <w:rPr>
                <w:b/>
                <w:color w:val="000000"/>
              </w:rPr>
              <w:t>Strategic Plan</w:t>
            </w:r>
            <w:r w:rsidR="00EE2DF5">
              <w:rPr>
                <w:b/>
                <w:color w:val="000000"/>
              </w:rPr>
              <w:tab/>
              <w:t>11</w:t>
            </w:r>
          </w:hyperlink>
        </w:p>
        <w:p w14:paraId="0B05A173" w14:textId="77777777" w:rsidR="00DD3C3B" w:rsidRDefault="00F966D9">
          <w:pPr>
            <w:widowControl w:val="0"/>
            <w:tabs>
              <w:tab w:val="right" w:pos="12000"/>
            </w:tabs>
            <w:spacing w:before="60" w:line="240" w:lineRule="auto"/>
            <w:rPr>
              <w:b/>
              <w:color w:val="000000"/>
            </w:rPr>
          </w:pPr>
          <w:hyperlink w:anchor="_jd3p0nkw8qik">
            <w:r w:rsidR="00EE2DF5">
              <w:rPr>
                <w:b/>
                <w:color w:val="000000"/>
              </w:rPr>
              <w:t>Fiscal and Budget</w:t>
            </w:r>
            <w:r w:rsidR="00EE2DF5">
              <w:rPr>
                <w:b/>
                <w:color w:val="000000"/>
              </w:rPr>
              <w:tab/>
              <w:t>12</w:t>
            </w:r>
          </w:hyperlink>
        </w:p>
        <w:p w14:paraId="720F7372" w14:textId="77777777" w:rsidR="00DD3C3B" w:rsidRDefault="00F966D9">
          <w:pPr>
            <w:widowControl w:val="0"/>
            <w:tabs>
              <w:tab w:val="right" w:pos="12000"/>
            </w:tabs>
            <w:spacing w:before="60" w:line="240" w:lineRule="auto"/>
            <w:rPr>
              <w:b/>
              <w:color w:val="000000"/>
            </w:rPr>
          </w:pPr>
          <w:hyperlink w:anchor="_2eg28vj15s4z">
            <w:r w:rsidR="00EE2DF5">
              <w:rPr>
                <w:b/>
                <w:color w:val="000000"/>
              </w:rPr>
              <w:t>About Iowa</w:t>
            </w:r>
            <w:r w:rsidR="00EE2DF5">
              <w:rPr>
                <w:b/>
                <w:color w:val="000000"/>
              </w:rPr>
              <w:tab/>
              <w:t>13</w:t>
            </w:r>
          </w:hyperlink>
        </w:p>
        <w:p w14:paraId="55CCBEDE" w14:textId="77777777" w:rsidR="00DD3C3B" w:rsidRDefault="00F966D9">
          <w:pPr>
            <w:widowControl w:val="0"/>
            <w:tabs>
              <w:tab w:val="right" w:pos="12000"/>
            </w:tabs>
            <w:spacing w:before="60" w:line="240" w:lineRule="auto"/>
            <w:rPr>
              <w:b/>
              <w:color w:val="000000"/>
            </w:rPr>
          </w:pPr>
          <w:hyperlink w:anchor="_eu3smxwly1ok">
            <w:r w:rsidR="00EE2DF5">
              <w:rPr>
                <w:b/>
                <w:color w:val="000000"/>
              </w:rPr>
              <w:t>Iowa Deaf and Blind Community</w:t>
            </w:r>
            <w:r w:rsidR="00EE2DF5">
              <w:rPr>
                <w:b/>
                <w:color w:val="000000"/>
              </w:rPr>
              <w:tab/>
              <w:t>14</w:t>
            </w:r>
          </w:hyperlink>
        </w:p>
        <w:p w14:paraId="2AC33E6A" w14:textId="77777777" w:rsidR="00DD3C3B" w:rsidRDefault="00F966D9">
          <w:pPr>
            <w:widowControl w:val="0"/>
            <w:tabs>
              <w:tab w:val="right" w:pos="12000"/>
            </w:tabs>
            <w:spacing w:before="60" w:line="240" w:lineRule="auto"/>
            <w:rPr>
              <w:b/>
              <w:color w:val="000000"/>
            </w:rPr>
          </w:pPr>
          <w:hyperlink w:anchor="_5iff38564j4d">
            <w:r w:rsidR="00EE2DF5">
              <w:rPr>
                <w:b/>
                <w:color w:val="000000"/>
              </w:rPr>
              <w:t>Superintendent Leader Profile</w:t>
            </w:r>
            <w:r w:rsidR="00EE2DF5">
              <w:rPr>
                <w:b/>
                <w:color w:val="000000"/>
              </w:rPr>
              <w:tab/>
              <w:t>15</w:t>
            </w:r>
          </w:hyperlink>
        </w:p>
        <w:p w14:paraId="1F3E3456" w14:textId="77777777" w:rsidR="00DD3C3B" w:rsidRDefault="00F966D9">
          <w:pPr>
            <w:widowControl w:val="0"/>
            <w:tabs>
              <w:tab w:val="right" w:pos="12000"/>
            </w:tabs>
            <w:spacing w:before="60" w:line="240" w:lineRule="auto"/>
            <w:rPr>
              <w:b/>
              <w:color w:val="000000"/>
            </w:rPr>
          </w:pPr>
          <w:hyperlink w:anchor="_gtw2a9s05rfz">
            <w:r w:rsidR="00EE2DF5">
              <w:rPr>
                <w:b/>
                <w:color w:val="000000"/>
              </w:rPr>
              <w:t>Job Description</w:t>
            </w:r>
            <w:r w:rsidR="00EE2DF5">
              <w:rPr>
                <w:b/>
                <w:color w:val="000000"/>
              </w:rPr>
              <w:tab/>
              <w:t>16</w:t>
            </w:r>
          </w:hyperlink>
        </w:p>
        <w:p w14:paraId="306A9A30" w14:textId="77777777" w:rsidR="00DD3C3B" w:rsidRDefault="00F966D9">
          <w:pPr>
            <w:widowControl w:val="0"/>
            <w:tabs>
              <w:tab w:val="right" w:pos="12000"/>
            </w:tabs>
            <w:spacing w:before="60" w:line="240" w:lineRule="auto"/>
            <w:rPr>
              <w:b/>
              <w:color w:val="000000"/>
            </w:rPr>
          </w:pPr>
          <w:hyperlink w:anchor="_8rsc67z94l2j">
            <w:r w:rsidR="00EE2DF5">
              <w:rPr>
                <w:b/>
                <w:color w:val="000000"/>
              </w:rPr>
              <w:t>How to Apply</w:t>
            </w:r>
            <w:r w:rsidR="00EE2DF5">
              <w:rPr>
                <w:b/>
                <w:color w:val="000000"/>
              </w:rPr>
              <w:tab/>
              <w:t>18</w:t>
            </w:r>
          </w:hyperlink>
          <w:r w:rsidR="00EE2DF5">
            <w:fldChar w:fldCharType="end"/>
          </w:r>
        </w:p>
      </w:sdtContent>
    </w:sdt>
    <w:p w14:paraId="04AA0034" w14:textId="77777777" w:rsidR="00DD3C3B" w:rsidRDefault="00DD3C3B"/>
    <w:p w14:paraId="08D6796D" w14:textId="77777777" w:rsidR="00DD3C3B" w:rsidRDefault="00EE2DF5">
      <w:pPr>
        <w:pStyle w:val="Heading1"/>
      </w:pPr>
      <w:bookmarkStart w:id="1" w:name="_thz2z4s01sci" w:colFirst="0" w:colLast="0"/>
      <w:bookmarkEnd w:id="1"/>
      <w:r>
        <w:t>Summary</w:t>
      </w:r>
    </w:p>
    <w:p w14:paraId="26FCF65C" w14:textId="77777777" w:rsidR="00DD3C3B" w:rsidRDefault="00DD3C3B"/>
    <w:p w14:paraId="5183DDE5" w14:textId="77777777" w:rsidR="00DD3C3B" w:rsidRDefault="00EE2DF5">
      <w:pPr>
        <w:pStyle w:val="Heading2"/>
      </w:pPr>
      <w:bookmarkStart w:id="2" w:name="_i16d0u40envy" w:colFirst="0" w:colLast="0"/>
      <w:bookmarkEnd w:id="2"/>
      <w:r>
        <w:lastRenderedPageBreak/>
        <w:t>Iowa Education Services for the Blind and Visually Impaired (IESBVI)</w:t>
      </w:r>
    </w:p>
    <w:p w14:paraId="4AE4760E" w14:textId="77777777" w:rsidR="00DD3C3B" w:rsidRDefault="00EE2DF5">
      <w:r>
        <w:t>Iowa Educational Services for the Blind &amp; Visually Impaired works with infants, children, teens, and young adults with visual impairments in the state of Iowa. We work with Iowa’s Area Education Agencies (AEAs) and school districts, providing support for students to successfully learn in and out of the classroom.</w:t>
      </w:r>
    </w:p>
    <w:p w14:paraId="3991C516" w14:textId="77777777" w:rsidR="00DD3C3B" w:rsidRDefault="00DD3C3B"/>
    <w:p w14:paraId="2842BA34" w14:textId="77777777" w:rsidR="00DD3C3B" w:rsidRDefault="00EE2DF5">
      <w:pPr>
        <w:pStyle w:val="Heading3"/>
      </w:pPr>
      <w:bookmarkStart w:id="3" w:name="_45l0o5utys4h" w:colFirst="0" w:colLast="0"/>
      <w:bookmarkEnd w:id="3"/>
      <w:r>
        <w:t>Mission</w:t>
      </w:r>
    </w:p>
    <w:p w14:paraId="22EE353C" w14:textId="77777777" w:rsidR="00DD3C3B" w:rsidRDefault="00EE2DF5">
      <w:r>
        <w:t>Our mission is to enable Iowa’s students who are blind or visually impaired to function as independently as possible in all aspects of life by providing appropriate educational opportunities, resources, and support services.</w:t>
      </w:r>
    </w:p>
    <w:p w14:paraId="277CF832" w14:textId="77777777" w:rsidR="00DD3C3B" w:rsidRDefault="00DD3C3B"/>
    <w:p w14:paraId="004A4EE4" w14:textId="77777777" w:rsidR="00DD3C3B" w:rsidRDefault="00EE2DF5">
      <w:pPr>
        <w:pStyle w:val="Heading3"/>
      </w:pPr>
      <w:bookmarkStart w:id="4" w:name="_8xy0dak9shu" w:colFirst="0" w:colLast="0"/>
      <w:bookmarkEnd w:id="4"/>
      <w:r>
        <w:t>Vision</w:t>
      </w:r>
    </w:p>
    <w:p w14:paraId="3DC12133" w14:textId="77777777" w:rsidR="00DD3C3B" w:rsidRDefault="00EE2DF5">
      <w:r>
        <w:t>All students can learn, achieve and thrive.</w:t>
      </w:r>
    </w:p>
    <w:p w14:paraId="352366FD" w14:textId="77777777" w:rsidR="00DD3C3B" w:rsidRDefault="00DD3C3B"/>
    <w:p w14:paraId="2A32C863" w14:textId="77777777" w:rsidR="00DD3C3B" w:rsidRDefault="00EE2DF5">
      <w:pPr>
        <w:pStyle w:val="Heading3"/>
      </w:pPr>
      <w:bookmarkStart w:id="5" w:name="_pfiymvk19oe0" w:colFirst="0" w:colLast="0"/>
      <w:bookmarkEnd w:id="5"/>
      <w:r>
        <w:t>Goals</w:t>
      </w:r>
    </w:p>
    <w:p w14:paraId="793E3496" w14:textId="77777777" w:rsidR="00DD3C3B" w:rsidRDefault="00EE2DF5">
      <w:pPr>
        <w:numPr>
          <w:ilvl w:val="0"/>
          <w:numId w:val="3"/>
        </w:numPr>
      </w:pPr>
      <w:r>
        <w:t xml:space="preserve">Provide equitable access to a continuum of </w:t>
      </w:r>
      <w:proofErr w:type="gramStart"/>
      <w:r>
        <w:t>high quality</w:t>
      </w:r>
      <w:proofErr w:type="gramEnd"/>
      <w:r>
        <w:t xml:space="preserve"> services for all students in Iowa who are blind and visually impaired, including those with multiple disabilities</w:t>
      </w:r>
    </w:p>
    <w:p w14:paraId="6274484A" w14:textId="77777777" w:rsidR="00DD3C3B" w:rsidRDefault="00EE2DF5">
      <w:pPr>
        <w:numPr>
          <w:ilvl w:val="0"/>
          <w:numId w:val="3"/>
        </w:numPr>
      </w:pPr>
      <w:r>
        <w:t xml:space="preserve">Assure an adequate supply of highly trained teachers and orientation and mobility </w:t>
      </w:r>
      <w:proofErr w:type="gramStart"/>
      <w:r>
        <w:t>specialists</w:t>
      </w:r>
      <w:proofErr w:type="gramEnd"/>
    </w:p>
    <w:p w14:paraId="22062B02" w14:textId="77777777" w:rsidR="00DD3C3B" w:rsidRDefault="00EE2DF5">
      <w:pPr>
        <w:numPr>
          <w:ilvl w:val="0"/>
          <w:numId w:val="3"/>
        </w:numPr>
      </w:pPr>
      <w:r>
        <w:t xml:space="preserve">Assure adequate and professional supervision, ongoing professional development and equitable job assignments for professionals working with blind and visually impaired </w:t>
      </w:r>
      <w:proofErr w:type="gramStart"/>
      <w:r>
        <w:t>students</w:t>
      </w:r>
      <w:proofErr w:type="gramEnd"/>
    </w:p>
    <w:p w14:paraId="61ACA352" w14:textId="77777777" w:rsidR="00DD3C3B" w:rsidRDefault="00EE2DF5">
      <w:pPr>
        <w:numPr>
          <w:ilvl w:val="0"/>
          <w:numId w:val="3"/>
        </w:numPr>
      </w:pPr>
      <w:r>
        <w:t xml:space="preserve">Eliminate duplication in service delivery by creating a seamless coordinated system of services to blind and visually impaired students across multiple funding sources and agencies responsible for this </w:t>
      </w:r>
      <w:proofErr w:type="gramStart"/>
      <w:r>
        <w:t>population</w:t>
      </w:r>
      <w:proofErr w:type="gramEnd"/>
    </w:p>
    <w:p w14:paraId="37027873" w14:textId="77777777" w:rsidR="00DD3C3B" w:rsidRDefault="00EE2DF5">
      <w:pPr>
        <w:numPr>
          <w:ilvl w:val="0"/>
          <w:numId w:val="3"/>
        </w:numPr>
      </w:pPr>
      <w:r>
        <w:t xml:space="preserve">Maintain a center of excellence in Iowa for discipline specific </w:t>
      </w:r>
      <w:proofErr w:type="gramStart"/>
      <w:r>
        <w:t>expertise</w:t>
      </w:r>
      <w:proofErr w:type="gramEnd"/>
    </w:p>
    <w:p w14:paraId="74D3B0AF" w14:textId="77777777" w:rsidR="00DD3C3B" w:rsidRDefault="00DD3C3B"/>
    <w:p w14:paraId="782E32C4" w14:textId="77777777" w:rsidR="00DD3C3B" w:rsidRDefault="00EE2DF5">
      <w:pPr>
        <w:pStyle w:val="Heading3"/>
      </w:pPr>
      <w:bookmarkStart w:id="6" w:name="_bknk73hy1x8p" w:colFirst="0" w:colLast="0"/>
      <w:bookmarkEnd w:id="6"/>
      <w:r>
        <w:t>Core Values</w:t>
      </w:r>
    </w:p>
    <w:p w14:paraId="1F5E7986" w14:textId="77777777" w:rsidR="00DD3C3B" w:rsidRDefault="00EE2DF5">
      <w:pPr>
        <w:widowControl w:val="0"/>
        <w:numPr>
          <w:ilvl w:val="0"/>
          <w:numId w:val="1"/>
        </w:numPr>
        <w:tabs>
          <w:tab w:val="left" w:pos="939"/>
          <w:tab w:val="left" w:pos="940"/>
        </w:tabs>
        <w:spacing w:line="240" w:lineRule="auto"/>
      </w:pPr>
      <w:r>
        <w:rPr>
          <w:rFonts w:ascii="Calibri" w:eastAsia="Calibri" w:hAnsi="Calibri" w:cs="Calibri"/>
        </w:rPr>
        <w:t xml:space="preserve">Program </w:t>
      </w:r>
      <w:proofErr w:type="gramStart"/>
      <w:r>
        <w:rPr>
          <w:rFonts w:ascii="Calibri" w:eastAsia="Calibri" w:hAnsi="Calibri" w:cs="Calibri"/>
        </w:rPr>
        <w:t>quality</w:t>
      </w:r>
      <w:proofErr w:type="gramEnd"/>
      <w:r>
        <w:rPr>
          <w:rFonts w:ascii="Calibri" w:eastAsia="Calibri" w:hAnsi="Calibri" w:cs="Calibri"/>
        </w:rPr>
        <w:t xml:space="preserve"> </w:t>
      </w:r>
    </w:p>
    <w:p w14:paraId="0668C7F3" w14:textId="77777777" w:rsidR="00DD3C3B" w:rsidRDefault="00EE2DF5">
      <w:pPr>
        <w:widowControl w:val="0"/>
        <w:numPr>
          <w:ilvl w:val="0"/>
          <w:numId w:val="1"/>
        </w:numPr>
        <w:tabs>
          <w:tab w:val="left" w:pos="939"/>
          <w:tab w:val="left" w:pos="940"/>
        </w:tabs>
        <w:spacing w:before="22" w:line="240" w:lineRule="auto"/>
      </w:pPr>
      <w:r>
        <w:rPr>
          <w:rFonts w:ascii="Calibri" w:eastAsia="Calibri" w:hAnsi="Calibri" w:cs="Calibri"/>
        </w:rPr>
        <w:t>Collaboration with colleagues and constituent groups</w:t>
      </w:r>
    </w:p>
    <w:p w14:paraId="7CCB6694" w14:textId="77777777" w:rsidR="00DD3C3B" w:rsidRDefault="00EE2DF5">
      <w:pPr>
        <w:widowControl w:val="0"/>
        <w:numPr>
          <w:ilvl w:val="0"/>
          <w:numId w:val="1"/>
        </w:numPr>
        <w:tabs>
          <w:tab w:val="left" w:pos="939"/>
          <w:tab w:val="left" w:pos="940"/>
        </w:tabs>
        <w:spacing w:before="18" w:line="240" w:lineRule="auto"/>
      </w:pPr>
      <w:r>
        <w:rPr>
          <w:rFonts w:ascii="Calibri" w:eastAsia="Calibri" w:hAnsi="Calibri" w:cs="Calibri"/>
        </w:rPr>
        <w:t>Civility, honesty, integrity, and fairness</w:t>
      </w:r>
    </w:p>
    <w:p w14:paraId="222B298A" w14:textId="77777777" w:rsidR="00DD3C3B" w:rsidRDefault="00EE2DF5">
      <w:pPr>
        <w:widowControl w:val="0"/>
        <w:numPr>
          <w:ilvl w:val="0"/>
          <w:numId w:val="1"/>
        </w:numPr>
        <w:tabs>
          <w:tab w:val="left" w:pos="939"/>
          <w:tab w:val="left" w:pos="940"/>
        </w:tabs>
        <w:spacing w:before="17" w:line="240" w:lineRule="auto"/>
      </w:pPr>
      <w:r>
        <w:rPr>
          <w:rFonts w:ascii="Calibri" w:eastAsia="Calibri" w:hAnsi="Calibri" w:cs="Calibri"/>
        </w:rPr>
        <w:t>Diversity among faculty, staff, and students</w:t>
      </w:r>
    </w:p>
    <w:p w14:paraId="6CE54AA7" w14:textId="77777777" w:rsidR="00DD3C3B" w:rsidRDefault="00EE2DF5">
      <w:pPr>
        <w:widowControl w:val="0"/>
        <w:numPr>
          <w:ilvl w:val="0"/>
          <w:numId w:val="1"/>
        </w:numPr>
        <w:tabs>
          <w:tab w:val="left" w:pos="939"/>
          <w:tab w:val="left" w:pos="940"/>
        </w:tabs>
        <w:spacing w:before="23" w:line="240" w:lineRule="auto"/>
      </w:pPr>
      <w:r>
        <w:rPr>
          <w:rFonts w:ascii="Calibri" w:eastAsia="Calibri" w:hAnsi="Calibri" w:cs="Calibri"/>
        </w:rPr>
        <w:t>Ethical behavior</w:t>
      </w:r>
    </w:p>
    <w:p w14:paraId="336DD95C" w14:textId="77777777" w:rsidR="00DD3C3B" w:rsidRDefault="00EE2DF5">
      <w:pPr>
        <w:widowControl w:val="0"/>
        <w:numPr>
          <w:ilvl w:val="0"/>
          <w:numId w:val="1"/>
        </w:numPr>
        <w:tabs>
          <w:tab w:val="left" w:pos="939"/>
          <w:tab w:val="left" w:pos="940"/>
        </w:tabs>
        <w:spacing w:before="17" w:line="240" w:lineRule="auto"/>
      </w:pPr>
      <w:r>
        <w:rPr>
          <w:rFonts w:ascii="Calibri" w:eastAsia="Calibri" w:hAnsi="Calibri" w:cs="Calibri"/>
        </w:rPr>
        <w:t>Open, effective communication</w:t>
      </w:r>
    </w:p>
    <w:p w14:paraId="18387F75" w14:textId="77777777" w:rsidR="00DD3C3B" w:rsidRDefault="00EE2DF5">
      <w:pPr>
        <w:widowControl w:val="0"/>
        <w:numPr>
          <w:ilvl w:val="0"/>
          <w:numId w:val="1"/>
        </w:numPr>
        <w:tabs>
          <w:tab w:val="left" w:pos="939"/>
          <w:tab w:val="left" w:pos="940"/>
        </w:tabs>
        <w:spacing w:before="23" w:line="240" w:lineRule="auto"/>
      </w:pPr>
      <w:r>
        <w:rPr>
          <w:rFonts w:ascii="Calibri" w:eastAsia="Calibri" w:hAnsi="Calibri" w:cs="Calibri"/>
        </w:rPr>
        <w:t>Public accountability, stewardship, and service</w:t>
      </w:r>
    </w:p>
    <w:p w14:paraId="4A7E6799" w14:textId="77777777" w:rsidR="00DD3C3B" w:rsidRDefault="00EE2DF5">
      <w:pPr>
        <w:widowControl w:val="0"/>
        <w:numPr>
          <w:ilvl w:val="0"/>
          <w:numId w:val="1"/>
        </w:numPr>
        <w:tabs>
          <w:tab w:val="left" w:pos="939"/>
          <w:tab w:val="left" w:pos="940"/>
        </w:tabs>
        <w:spacing w:before="17" w:line="240" w:lineRule="auto"/>
      </w:pPr>
      <w:r>
        <w:rPr>
          <w:rFonts w:ascii="Calibri" w:eastAsia="Calibri" w:hAnsi="Calibri" w:cs="Calibri"/>
        </w:rPr>
        <w:lastRenderedPageBreak/>
        <w:t>Optimal personal development and achievement</w:t>
      </w:r>
    </w:p>
    <w:p w14:paraId="6E5925FB" w14:textId="77777777" w:rsidR="00DD3C3B" w:rsidRDefault="00DD3C3B"/>
    <w:p w14:paraId="6D13005F" w14:textId="0AB807B4" w:rsidR="00DD3C3B" w:rsidRDefault="00EE2DF5">
      <w:pPr>
        <w:pStyle w:val="Heading3"/>
      </w:pPr>
      <w:bookmarkStart w:id="7" w:name="_aaaczw9nzqe9" w:colFirst="0" w:colLast="0"/>
      <w:bookmarkEnd w:id="7"/>
      <w:r>
        <w:t>Guiding principles (educational philosophy)</w:t>
      </w:r>
    </w:p>
    <w:p w14:paraId="0D0235D3" w14:textId="77777777" w:rsidR="00DD3C3B" w:rsidRDefault="00EE2DF5">
      <w:pPr>
        <w:widowControl w:val="0"/>
        <w:numPr>
          <w:ilvl w:val="0"/>
          <w:numId w:val="5"/>
        </w:numPr>
        <w:tabs>
          <w:tab w:val="left" w:pos="939"/>
          <w:tab w:val="left" w:pos="940"/>
        </w:tabs>
        <w:spacing w:line="246" w:lineRule="auto"/>
        <w:ind w:right="291"/>
      </w:pPr>
      <w:r>
        <w:rPr>
          <w:rFonts w:ascii="Calibri" w:eastAsia="Calibri" w:hAnsi="Calibri" w:cs="Calibri"/>
        </w:rPr>
        <w:t xml:space="preserve">Passion and skills for life-long learning that serve as a role model and prepare students who are blind or visually impaired to achieve their full </w:t>
      </w:r>
      <w:proofErr w:type="gramStart"/>
      <w:r>
        <w:rPr>
          <w:rFonts w:ascii="Calibri" w:eastAsia="Calibri" w:hAnsi="Calibri" w:cs="Calibri"/>
        </w:rPr>
        <w:t>potential</w:t>
      </w:r>
      <w:proofErr w:type="gramEnd"/>
    </w:p>
    <w:p w14:paraId="28D79621" w14:textId="77777777" w:rsidR="00DD3C3B" w:rsidRDefault="00EE2DF5">
      <w:pPr>
        <w:widowControl w:val="0"/>
        <w:numPr>
          <w:ilvl w:val="0"/>
          <w:numId w:val="5"/>
        </w:numPr>
        <w:tabs>
          <w:tab w:val="left" w:pos="939"/>
          <w:tab w:val="left" w:pos="940"/>
        </w:tabs>
        <w:spacing w:before="17" w:line="246" w:lineRule="auto"/>
        <w:ind w:right="302"/>
      </w:pPr>
      <w:r>
        <w:rPr>
          <w:rFonts w:ascii="Calibri" w:eastAsia="Calibri" w:hAnsi="Calibri" w:cs="Calibri"/>
        </w:rPr>
        <w:t xml:space="preserve">Collaboration and coordination with families, other agencies and stakeholders to meet the needs of Iowa’s students who are blind or visually </w:t>
      </w:r>
      <w:proofErr w:type="gramStart"/>
      <w:r>
        <w:rPr>
          <w:rFonts w:ascii="Calibri" w:eastAsia="Calibri" w:hAnsi="Calibri" w:cs="Calibri"/>
        </w:rPr>
        <w:t>impaired</w:t>
      </w:r>
      <w:proofErr w:type="gramEnd"/>
    </w:p>
    <w:p w14:paraId="71A7257C" w14:textId="77777777" w:rsidR="00DD3C3B" w:rsidRDefault="00EE2DF5">
      <w:pPr>
        <w:widowControl w:val="0"/>
        <w:numPr>
          <w:ilvl w:val="0"/>
          <w:numId w:val="5"/>
        </w:numPr>
        <w:tabs>
          <w:tab w:val="left" w:pos="939"/>
          <w:tab w:val="left" w:pos="940"/>
        </w:tabs>
        <w:spacing w:before="16" w:line="240" w:lineRule="auto"/>
      </w:pPr>
      <w:r>
        <w:rPr>
          <w:rFonts w:ascii="Calibri" w:eastAsia="Calibri" w:hAnsi="Calibri" w:cs="Calibri"/>
        </w:rPr>
        <w:t>Integrity, honesty, ethics, and civil discourse in all activities</w:t>
      </w:r>
    </w:p>
    <w:p w14:paraId="3455FA69" w14:textId="77777777" w:rsidR="00DD3C3B" w:rsidRDefault="00EE2DF5">
      <w:pPr>
        <w:widowControl w:val="0"/>
        <w:numPr>
          <w:ilvl w:val="0"/>
          <w:numId w:val="5"/>
        </w:numPr>
        <w:tabs>
          <w:tab w:val="left" w:pos="939"/>
          <w:tab w:val="left" w:pos="940"/>
        </w:tabs>
        <w:spacing w:before="18" w:line="246" w:lineRule="auto"/>
        <w:ind w:right="480"/>
      </w:pPr>
      <w:r>
        <w:rPr>
          <w:rFonts w:ascii="Calibri" w:eastAsia="Calibri" w:hAnsi="Calibri" w:cs="Calibri"/>
        </w:rPr>
        <w:t>Respectful interaction among members of diverse backgrounds, cultures, communication modes and beliefs</w:t>
      </w:r>
    </w:p>
    <w:p w14:paraId="61746B6E" w14:textId="77777777" w:rsidR="00DD3C3B" w:rsidRDefault="00EE2DF5">
      <w:pPr>
        <w:widowControl w:val="0"/>
        <w:numPr>
          <w:ilvl w:val="0"/>
          <w:numId w:val="5"/>
        </w:numPr>
        <w:tabs>
          <w:tab w:val="left" w:pos="939"/>
          <w:tab w:val="left" w:pos="940"/>
        </w:tabs>
        <w:spacing w:before="17" w:line="246" w:lineRule="auto"/>
        <w:ind w:right="411"/>
      </w:pPr>
      <w:r>
        <w:rPr>
          <w:rFonts w:ascii="Calibri" w:eastAsia="Calibri" w:hAnsi="Calibri" w:cs="Calibri"/>
        </w:rPr>
        <w:t>Nurturing environments that promote critical thinking, free inquiry, open communication, and broad participation</w:t>
      </w:r>
    </w:p>
    <w:p w14:paraId="4A4A3A45" w14:textId="77777777" w:rsidR="00DD3C3B" w:rsidRDefault="00EE2DF5">
      <w:pPr>
        <w:widowControl w:val="0"/>
        <w:numPr>
          <w:ilvl w:val="0"/>
          <w:numId w:val="5"/>
        </w:numPr>
        <w:tabs>
          <w:tab w:val="left" w:pos="939"/>
          <w:tab w:val="left" w:pos="940"/>
        </w:tabs>
        <w:spacing w:before="16" w:line="246" w:lineRule="auto"/>
        <w:ind w:right="537"/>
      </w:pPr>
      <w:r>
        <w:rPr>
          <w:rFonts w:ascii="Calibri" w:eastAsia="Calibri" w:hAnsi="Calibri" w:cs="Calibri"/>
        </w:rPr>
        <w:t xml:space="preserve">Effective communication that informs constituents of the role, value, and impact of Iowa Educational Services for the Blind and Visually </w:t>
      </w:r>
      <w:proofErr w:type="gramStart"/>
      <w:r>
        <w:rPr>
          <w:rFonts w:ascii="Calibri" w:eastAsia="Calibri" w:hAnsi="Calibri" w:cs="Calibri"/>
        </w:rPr>
        <w:t>Impaired  for</w:t>
      </w:r>
      <w:proofErr w:type="gramEnd"/>
      <w:r>
        <w:rPr>
          <w:rFonts w:ascii="Calibri" w:eastAsia="Calibri" w:hAnsi="Calibri" w:cs="Calibri"/>
        </w:rPr>
        <w:t xml:space="preserve"> students who are blind or visually impaired</w:t>
      </w:r>
    </w:p>
    <w:p w14:paraId="1CAA44B5" w14:textId="77777777" w:rsidR="00DD3C3B" w:rsidRDefault="00EE2DF5">
      <w:pPr>
        <w:widowControl w:val="0"/>
        <w:numPr>
          <w:ilvl w:val="0"/>
          <w:numId w:val="5"/>
        </w:numPr>
        <w:tabs>
          <w:tab w:val="left" w:pos="939"/>
          <w:tab w:val="left" w:pos="940"/>
        </w:tabs>
        <w:spacing w:before="12" w:line="254" w:lineRule="auto"/>
        <w:ind w:right="991"/>
      </w:pPr>
      <w:r>
        <w:rPr>
          <w:rFonts w:ascii="Calibri" w:eastAsia="Calibri" w:hAnsi="Calibri" w:cs="Calibri"/>
        </w:rPr>
        <w:t xml:space="preserve">Effective, accountable service to the public through strategic planning and program implementation for Iowa’s students who are blind or visually </w:t>
      </w:r>
      <w:proofErr w:type="gramStart"/>
      <w:r>
        <w:rPr>
          <w:rFonts w:ascii="Calibri" w:eastAsia="Calibri" w:hAnsi="Calibri" w:cs="Calibri"/>
        </w:rPr>
        <w:t>impaired</w:t>
      </w:r>
      <w:proofErr w:type="gramEnd"/>
    </w:p>
    <w:p w14:paraId="4B1A8CD9" w14:textId="77777777" w:rsidR="00DD3C3B" w:rsidRDefault="00EE2DF5">
      <w:pPr>
        <w:widowControl w:val="0"/>
        <w:numPr>
          <w:ilvl w:val="0"/>
          <w:numId w:val="5"/>
        </w:numPr>
        <w:tabs>
          <w:tab w:val="left" w:pos="939"/>
          <w:tab w:val="left" w:pos="940"/>
        </w:tabs>
        <w:spacing w:before="3" w:line="240" w:lineRule="auto"/>
      </w:pPr>
      <w:r>
        <w:rPr>
          <w:rFonts w:ascii="Calibri" w:eastAsia="Calibri" w:hAnsi="Calibri" w:cs="Calibri"/>
        </w:rPr>
        <w:t>Effective stewardship of resources</w:t>
      </w:r>
    </w:p>
    <w:p w14:paraId="549A4A68" w14:textId="77777777" w:rsidR="00DD3C3B" w:rsidRDefault="00EE2DF5">
      <w:pPr>
        <w:widowControl w:val="0"/>
        <w:numPr>
          <w:ilvl w:val="0"/>
          <w:numId w:val="5"/>
        </w:numPr>
        <w:tabs>
          <w:tab w:val="left" w:pos="939"/>
          <w:tab w:val="left" w:pos="940"/>
        </w:tabs>
        <w:spacing w:before="22" w:line="240" w:lineRule="auto"/>
      </w:pPr>
      <w:r>
        <w:rPr>
          <w:rFonts w:ascii="Calibri" w:eastAsia="Calibri" w:hAnsi="Calibri" w:cs="Calibri"/>
        </w:rPr>
        <w:t>Recruitment, retention, and development of outstanding faculty and staff</w:t>
      </w:r>
    </w:p>
    <w:p w14:paraId="6A9C116F" w14:textId="77777777" w:rsidR="00AA42ED" w:rsidRDefault="00AA42ED" w:rsidP="00AA42ED">
      <w:pPr>
        <w:pStyle w:val="Caption"/>
        <w:keepNext/>
      </w:pPr>
      <w:bookmarkStart w:id="8" w:name="_53bi35gwjv6a" w:colFirst="0" w:colLast="0"/>
      <w:bookmarkEnd w:id="8"/>
    </w:p>
    <w:p w14:paraId="7E93B8A1" w14:textId="353FC322" w:rsidR="00613926" w:rsidRPr="00613926" w:rsidRDefault="00613926" w:rsidP="00613926">
      <w:pPr>
        <w:rPr>
          <w:sz w:val="28"/>
          <w:szCs w:val="28"/>
        </w:rPr>
      </w:pPr>
      <w:r w:rsidRPr="00613926">
        <w:rPr>
          <w:sz w:val="28"/>
          <w:szCs w:val="28"/>
        </w:rPr>
        <w:t>IESBVI Student Demographics</w:t>
      </w:r>
    </w:p>
    <w:p w14:paraId="3303B260" w14:textId="77777777" w:rsidR="00613926" w:rsidRPr="00613926" w:rsidRDefault="00613926" w:rsidP="00613926"/>
    <w:p w14:paraId="6345B23F" w14:textId="6BF3D9C5" w:rsidR="00AA42ED" w:rsidRDefault="00AA42ED" w:rsidP="00AA42ED">
      <w:pPr>
        <w:pStyle w:val="Caption"/>
        <w:keepNext/>
      </w:pPr>
      <w:r>
        <w:t xml:space="preserve">Student Demographics </w:t>
      </w:r>
      <w:r>
        <w:fldChar w:fldCharType="begin"/>
      </w:r>
      <w:r>
        <w:instrText xml:space="preserve"> SEQ Student_Demographics \* ARABIC </w:instrText>
      </w:r>
      <w:r>
        <w:fldChar w:fldCharType="separate"/>
      </w:r>
      <w:r w:rsidR="00613926">
        <w:rPr>
          <w:noProof/>
        </w:rPr>
        <w:t>1</w:t>
      </w:r>
      <w:r>
        <w:fldChar w:fldCharType="end"/>
      </w:r>
    </w:p>
    <w:tbl>
      <w:tblPr>
        <w:tblStyle w:val="TableGrid"/>
        <w:tblW w:w="4377" w:type="pct"/>
        <w:tblLayout w:type="fixed"/>
        <w:tblLook w:val="04A0" w:firstRow="1" w:lastRow="0" w:firstColumn="1" w:lastColumn="0" w:noHBand="0" w:noVBand="1"/>
        <w:tblCaption w:val="IESBVI Student Demographics"/>
        <w:tblDescription w:val="Table shows the student demographics across nine districts (listed in each row) by listing (across the columns) their total student numbers, gender (Male and Female), ethicnities (American Indian, Black, Hawaiian, Hispanic, White, and Unspecified)."/>
      </w:tblPr>
      <w:tblGrid>
        <w:gridCol w:w="1795"/>
        <w:gridCol w:w="634"/>
        <w:gridCol w:w="604"/>
        <w:gridCol w:w="655"/>
        <w:gridCol w:w="630"/>
        <w:gridCol w:w="630"/>
        <w:gridCol w:w="629"/>
        <w:gridCol w:w="720"/>
        <w:gridCol w:w="629"/>
        <w:gridCol w:w="630"/>
        <w:gridCol w:w="629"/>
      </w:tblGrid>
      <w:tr w:rsidR="00894D62" w14:paraId="07FC185E" w14:textId="6A7CAAD2" w:rsidTr="00894D62">
        <w:trPr>
          <w:cantSplit/>
          <w:trHeight w:val="1556"/>
        </w:trPr>
        <w:tc>
          <w:tcPr>
            <w:tcW w:w="1097" w:type="pct"/>
          </w:tcPr>
          <w:p w14:paraId="3BDF1688" w14:textId="77777777" w:rsidR="00AA42ED" w:rsidRDefault="00AA42ED" w:rsidP="00894D62">
            <w:pPr>
              <w:rPr>
                <w:b/>
                <w:bCs/>
              </w:rPr>
            </w:pPr>
            <w:r>
              <w:rPr>
                <w:b/>
                <w:bCs/>
              </w:rPr>
              <w:t>Student</w:t>
            </w:r>
          </w:p>
          <w:p w14:paraId="06CB8F05" w14:textId="65B069FE" w:rsidR="00B04659" w:rsidRPr="00894D62" w:rsidRDefault="00B04659" w:rsidP="00894D62">
            <w:pPr>
              <w:rPr>
                <w:b/>
                <w:bCs/>
              </w:rPr>
            </w:pPr>
            <w:r w:rsidRPr="00894D62">
              <w:rPr>
                <w:b/>
                <w:bCs/>
              </w:rPr>
              <w:t>Demographics</w:t>
            </w:r>
          </w:p>
        </w:tc>
        <w:tc>
          <w:tcPr>
            <w:tcW w:w="387" w:type="pct"/>
            <w:textDirection w:val="btLr"/>
          </w:tcPr>
          <w:p w14:paraId="5F8838E8" w14:textId="6E7E87CE" w:rsidR="00B04659" w:rsidRPr="00894D62" w:rsidRDefault="00B04659" w:rsidP="00894D62">
            <w:pPr>
              <w:ind w:left="113" w:right="113"/>
              <w:rPr>
                <w:b/>
                <w:bCs/>
              </w:rPr>
            </w:pPr>
            <w:r w:rsidRPr="00894D62">
              <w:rPr>
                <w:b/>
                <w:bCs/>
              </w:rPr>
              <w:t xml:space="preserve">Central </w:t>
            </w:r>
            <w:r w:rsidRPr="00894D62">
              <w:rPr>
                <w:b/>
                <w:bCs/>
              </w:rPr>
              <w:br/>
              <w:t>Rivers</w:t>
            </w:r>
          </w:p>
        </w:tc>
        <w:tc>
          <w:tcPr>
            <w:tcW w:w="369" w:type="pct"/>
            <w:textDirection w:val="btLr"/>
          </w:tcPr>
          <w:p w14:paraId="6338504B" w14:textId="0DED05CE" w:rsidR="00B04659" w:rsidRPr="00894D62" w:rsidRDefault="00B04659" w:rsidP="00894D62">
            <w:pPr>
              <w:ind w:left="113" w:right="113"/>
              <w:rPr>
                <w:b/>
                <w:bCs/>
              </w:rPr>
            </w:pPr>
            <w:r w:rsidRPr="00894D62">
              <w:rPr>
                <w:b/>
                <w:bCs/>
              </w:rPr>
              <w:t>Grand Wood</w:t>
            </w:r>
          </w:p>
        </w:tc>
        <w:tc>
          <w:tcPr>
            <w:tcW w:w="400" w:type="pct"/>
            <w:textDirection w:val="btLr"/>
          </w:tcPr>
          <w:p w14:paraId="2412FC24" w14:textId="44A8CD35" w:rsidR="00B04659" w:rsidRPr="00894D62" w:rsidRDefault="00B04659" w:rsidP="00894D62">
            <w:pPr>
              <w:ind w:left="113" w:right="113"/>
              <w:rPr>
                <w:b/>
                <w:bCs/>
              </w:rPr>
            </w:pPr>
            <w:r w:rsidRPr="00894D62">
              <w:rPr>
                <w:b/>
                <w:bCs/>
              </w:rPr>
              <w:t>Great Prairie</w:t>
            </w:r>
          </w:p>
        </w:tc>
        <w:tc>
          <w:tcPr>
            <w:tcW w:w="385" w:type="pct"/>
            <w:textDirection w:val="btLr"/>
          </w:tcPr>
          <w:p w14:paraId="338A985B" w14:textId="2BB89989" w:rsidR="00B04659" w:rsidRPr="00894D62" w:rsidRDefault="00B04659" w:rsidP="00894D62">
            <w:pPr>
              <w:ind w:left="113" w:right="113"/>
              <w:rPr>
                <w:b/>
                <w:bCs/>
              </w:rPr>
            </w:pPr>
            <w:r w:rsidRPr="00894D62">
              <w:rPr>
                <w:b/>
                <w:bCs/>
              </w:rPr>
              <w:t>Green Hills</w:t>
            </w:r>
          </w:p>
        </w:tc>
        <w:tc>
          <w:tcPr>
            <w:tcW w:w="385" w:type="pct"/>
            <w:textDirection w:val="btLr"/>
          </w:tcPr>
          <w:p w14:paraId="6252828F" w14:textId="349ABE73" w:rsidR="00B04659" w:rsidRPr="00894D62" w:rsidRDefault="00B04659" w:rsidP="00894D62">
            <w:pPr>
              <w:ind w:left="113" w:right="113"/>
              <w:rPr>
                <w:b/>
                <w:bCs/>
              </w:rPr>
            </w:pPr>
            <w:r w:rsidRPr="00894D62">
              <w:rPr>
                <w:b/>
                <w:bCs/>
              </w:rPr>
              <w:t>Heartland</w:t>
            </w:r>
          </w:p>
        </w:tc>
        <w:tc>
          <w:tcPr>
            <w:tcW w:w="384" w:type="pct"/>
            <w:textDirection w:val="btLr"/>
          </w:tcPr>
          <w:p w14:paraId="4D42F855" w14:textId="294480F3" w:rsidR="00B04659" w:rsidRPr="00894D62" w:rsidRDefault="00B04659" w:rsidP="00894D62">
            <w:pPr>
              <w:ind w:left="113" w:right="113"/>
              <w:rPr>
                <w:b/>
                <w:bCs/>
              </w:rPr>
            </w:pPr>
            <w:r w:rsidRPr="00894D62">
              <w:rPr>
                <w:b/>
                <w:bCs/>
              </w:rPr>
              <w:t>Keystone</w:t>
            </w:r>
          </w:p>
        </w:tc>
        <w:tc>
          <w:tcPr>
            <w:tcW w:w="440" w:type="pct"/>
            <w:textDirection w:val="btLr"/>
          </w:tcPr>
          <w:p w14:paraId="43C69641" w14:textId="1CCCAEF2" w:rsidR="00B04659" w:rsidRPr="00894D62" w:rsidRDefault="00B04659" w:rsidP="00894D62">
            <w:pPr>
              <w:ind w:left="113" w:right="113"/>
              <w:rPr>
                <w:b/>
                <w:bCs/>
              </w:rPr>
            </w:pPr>
            <w:r w:rsidRPr="00894D62">
              <w:rPr>
                <w:b/>
                <w:bCs/>
              </w:rPr>
              <w:t>Mississippi Bend</w:t>
            </w:r>
          </w:p>
        </w:tc>
        <w:tc>
          <w:tcPr>
            <w:tcW w:w="384" w:type="pct"/>
            <w:textDirection w:val="btLr"/>
          </w:tcPr>
          <w:p w14:paraId="774D1854" w14:textId="08D84223" w:rsidR="00B04659" w:rsidRPr="00894D62" w:rsidRDefault="00B04659" w:rsidP="00894D62">
            <w:pPr>
              <w:ind w:left="113" w:right="113"/>
              <w:rPr>
                <w:b/>
                <w:bCs/>
              </w:rPr>
            </w:pPr>
            <w:r w:rsidRPr="00894D62">
              <w:rPr>
                <w:b/>
                <w:bCs/>
              </w:rPr>
              <w:t>Northwest</w:t>
            </w:r>
          </w:p>
        </w:tc>
        <w:tc>
          <w:tcPr>
            <w:tcW w:w="385" w:type="pct"/>
            <w:textDirection w:val="btLr"/>
          </w:tcPr>
          <w:p w14:paraId="2207A8F9" w14:textId="34785ACF" w:rsidR="00B04659" w:rsidRPr="00894D62" w:rsidRDefault="00B04659" w:rsidP="00894D62">
            <w:pPr>
              <w:ind w:left="113" w:right="113"/>
              <w:rPr>
                <w:b/>
                <w:bCs/>
              </w:rPr>
            </w:pPr>
            <w:r w:rsidRPr="00894D62">
              <w:rPr>
                <w:b/>
                <w:bCs/>
              </w:rPr>
              <w:t xml:space="preserve">Prairie Lakes </w:t>
            </w:r>
          </w:p>
        </w:tc>
        <w:tc>
          <w:tcPr>
            <w:tcW w:w="384" w:type="pct"/>
            <w:textDirection w:val="btLr"/>
          </w:tcPr>
          <w:p w14:paraId="4BB225BC" w14:textId="380B3BB7" w:rsidR="00B04659" w:rsidRPr="00894D62" w:rsidRDefault="00B04659" w:rsidP="00894D62">
            <w:pPr>
              <w:ind w:left="113" w:right="113"/>
              <w:rPr>
                <w:b/>
                <w:bCs/>
              </w:rPr>
            </w:pPr>
            <w:r w:rsidRPr="00894D62">
              <w:rPr>
                <w:b/>
                <w:bCs/>
              </w:rPr>
              <w:t xml:space="preserve">TOTAL </w:t>
            </w:r>
          </w:p>
        </w:tc>
      </w:tr>
      <w:tr w:rsidR="00894D62" w14:paraId="3731B63F" w14:textId="0C5E8946" w:rsidTr="00894D62">
        <w:trPr>
          <w:trHeight w:val="449"/>
        </w:trPr>
        <w:tc>
          <w:tcPr>
            <w:tcW w:w="1097" w:type="pct"/>
          </w:tcPr>
          <w:p w14:paraId="3E70118A" w14:textId="05472BB2" w:rsidR="00B04659" w:rsidRPr="00894D62" w:rsidRDefault="00B04659" w:rsidP="00894D62">
            <w:pPr>
              <w:rPr>
                <w:b/>
                <w:bCs/>
              </w:rPr>
            </w:pPr>
            <w:r w:rsidRPr="00894D62">
              <w:rPr>
                <w:b/>
                <w:bCs/>
              </w:rPr>
              <w:t>Total Students</w:t>
            </w:r>
          </w:p>
        </w:tc>
        <w:tc>
          <w:tcPr>
            <w:tcW w:w="387" w:type="pct"/>
          </w:tcPr>
          <w:p w14:paraId="6D3F79D4" w14:textId="5D17E77C" w:rsidR="00B04659" w:rsidRDefault="00B04659" w:rsidP="00894D62">
            <w:r>
              <w:t>61</w:t>
            </w:r>
          </w:p>
        </w:tc>
        <w:tc>
          <w:tcPr>
            <w:tcW w:w="369" w:type="pct"/>
          </w:tcPr>
          <w:p w14:paraId="34D3F6E0" w14:textId="617A58F7" w:rsidR="00B04659" w:rsidRDefault="00894D62" w:rsidP="00894D62">
            <w:r>
              <w:t>105</w:t>
            </w:r>
          </w:p>
        </w:tc>
        <w:tc>
          <w:tcPr>
            <w:tcW w:w="400" w:type="pct"/>
          </w:tcPr>
          <w:p w14:paraId="7EF30251" w14:textId="69AA35F7" w:rsidR="00B04659" w:rsidRDefault="00894D62" w:rsidP="00894D62">
            <w:r>
              <w:t>59</w:t>
            </w:r>
          </w:p>
        </w:tc>
        <w:tc>
          <w:tcPr>
            <w:tcW w:w="385" w:type="pct"/>
          </w:tcPr>
          <w:p w14:paraId="12F23C3B" w14:textId="0F708617" w:rsidR="00B04659" w:rsidRDefault="00894D62" w:rsidP="00894D62">
            <w:r>
              <w:t>57</w:t>
            </w:r>
          </w:p>
        </w:tc>
        <w:tc>
          <w:tcPr>
            <w:tcW w:w="385" w:type="pct"/>
          </w:tcPr>
          <w:p w14:paraId="29E1FD6D" w14:textId="21682708" w:rsidR="00B04659" w:rsidRDefault="00894D62" w:rsidP="00894D62">
            <w:r>
              <w:t>253</w:t>
            </w:r>
          </w:p>
        </w:tc>
        <w:tc>
          <w:tcPr>
            <w:tcW w:w="384" w:type="pct"/>
          </w:tcPr>
          <w:p w14:paraId="60F4AB11" w14:textId="398FBABF" w:rsidR="00B04659" w:rsidRDefault="00894D62" w:rsidP="00894D62">
            <w:r>
              <w:t>48</w:t>
            </w:r>
          </w:p>
        </w:tc>
        <w:tc>
          <w:tcPr>
            <w:tcW w:w="440" w:type="pct"/>
          </w:tcPr>
          <w:p w14:paraId="0CC279A8" w14:textId="33F17122" w:rsidR="00B04659" w:rsidRDefault="00894D62" w:rsidP="00894D62">
            <w:r>
              <w:t>70</w:t>
            </w:r>
          </w:p>
        </w:tc>
        <w:tc>
          <w:tcPr>
            <w:tcW w:w="384" w:type="pct"/>
          </w:tcPr>
          <w:p w14:paraId="3F67AA0A" w14:textId="71337B9A" w:rsidR="00B04659" w:rsidRDefault="00894D62" w:rsidP="00894D62">
            <w:r>
              <w:t>44</w:t>
            </w:r>
          </w:p>
        </w:tc>
        <w:tc>
          <w:tcPr>
            <w:tcW w:w="385" w:type="pct"/>
          </w:tcPr>
          <w:p w14:paraId="22652424" w14:textId="77D3D7D5" w:rsidR="00B04659" w:rsidRDefault="00894D62" w:rsidP="00894D62">
            <w:r>
              <w:t>46</w:t>
            </w:r>
          </w:p>
        </w:tc>
        <w:tc>
          <w:tcPr>
            <w:tcW w:w="384" w:type="pct"/>
          </w:tcPr>
          <w:p w14:paraId="21C4EC18" w14:textId="4901F1F6" w:rsidR="00B04659" w:rsidRPr="00AA42ED" w:rsidRDefault="00894D62" w:rsidP="00894D62">
            <w:pPr>
              <w:rPr>
                <w:b/>
                <w:bCs/>
              </w:rPr>
            </w:pPr>
            <w:r w:rsidRPr="00AA42ED">
              <w:rPr>
                <w:b/>
                <w:bCs/>
              </w:rPr>
              <w:t>743</w:t>
            </w:r>
          </w:p>
        </w:tc>
      </w:tr>
      <w:tr w:rsidR="00894D62" w14:paraId="158F2EA4" w14:textId="1AA207E6" w:rsidTr="00894D62">
        <w:tc>
          <w:tcPr>
            <w:tcW w:w="1097" w:type="pct"/>
          </w:tcPr>
          <w:p w14:paraId="5F4864E8" w14:textId="5CF33D92" w:rsidR="00B04659" w:rsidRPr="00894D62" w:rsidRDefault="00B04659" w:rsidP="00894D62">
            <w:pPr>
              <w:rPr>
                <w:b/>
                <w:bCs/>
              </w:rPr>
            </w:pPr>
            <w:r w:rsidRPr="00894D62">
              <w:rPr>
                <w:b/>
                <w:bCs/>
              </w:rPr>
              <w:t xml:space="preserve">Gender: </w:t>
            </w:r>
            <w:r w:rsidRPr="00894D62">
              <w:rPr>
                <w:b/>
                <w:bCs/>
              </w:rPr>
              <w:br/>
              <w:t>Male</w:t>
            </w:r>
          </w:p>
        </w:tc>
        <w:tc>
          <w:tcPr>
            <w:tcW w:w="387" w:type="pct"/>
          </w:tcPr>
          <w:p w14:paraId="09296EE0" w14:textId="39568772" w:rsidR="00B04659" w:rsidRDefault="00B04659" w:rsidP="00894D62">
            <w:r>
              <w:t>39</w:t>
            </w:r>
          </w:p>
        </w:tc>
        <w:tc>
          <w:tcPr>
            <w:tcW w:w="369" w:type="pct"/>
          </w:tcPr>
          <w:p w14:paraId="5DBEE419" w14:textId="79D02686" w:rsidR="00B04659" w:rsidRDefault="00894D62" w:rsidP="00894D62">
            <w:r>
              <w:t>63</w:t>
            </w:r>
          </w:p>
        </w:tc>
        <w:tc>
          <w:tcPr>
            <w:tcW w:w="400" w:type="pct"/>
          </w:tcPr>
          <w:p w14:paraId="439C65C4" w14:textId="0A1404F0" w:rsidR="00B04659" w:rsidRDefault="00894D62" w:rsidP="00894D62">
            <w:r>
              <w:t>30</w:t>
            </w:r>
          </w:p>
        </w:tc>
        <w:tc>
          <w:tcPr>
            <w:tcW w:w="385" w:type="pct"/>
          </w:tcPr>
          <w:p w14:paraId="21911C93" w14:textId="623C8B9C" w:rsidR="00B04659" w:rsidRDefault="00894D62" w:rsidP="00894D62">
            <w:r>
              <w:t>36</w:t>
            </w:r>
          </w:p>
        </w:tc>
        <w:tc>
          <w:tcPr>
            <w:tcW w:w="385" w:type="pct"/>
          </w:tcPr>
          <w:p w14:paraId="42416808" w14:textId="6BB79917" w:rsidR="00B04659" w:rsidRPr="00894D62" w:rsidRDefault="00894D62" w:rsidP="00894D62">
            <w:r w:rsidRPr="00894D62">
              <w:t>135</w:t>
            </w:r>
          </w:p>
        </w:tc>
        <w:tc>
          <w:tcPr>
            <w:tcW w:w="384" w:type="pct"/>
          </w:tcPr>
          <w:p w14:paraId="14614B3E" w14:textId="2415EDE0" w:rsidR="00B04659" w:rsidRDefault="00894D62" w:rsidP="00894D62">
            <w:r>
              <w:t>29</w:t>
            </w:r>
          </w:p>
        </w:tc>
        <w:tc>
          <w:tcPr>
            <w:tcW w:w="440" w:type="pct"/>
          </w:tcPr>
          <w:p w14:paraId="78A11172" w14:textId="33832C01" w:rsidR="00B04659" w:rsidRDefault="00894D62" w:rsidP="00894D62">
            <w:r>
              <w:t>44</w:t>
            </w:r>
          </w:p>
        </w:tc>
        <w:tc>
          <w:tcPr>
            <w:tcW w:w="384" w:type="pct"/>
          </w:tcPr>
          <w:p w14:paraId="341C090A" w14:textId="776D0968" w:rsidR="00B04659" w:rsidRDefault="00894D62" w:rsidP="00894D62">
            <w:r>
              <w:t>26</w:t>
            </w:r>
          </w:p>
        </w:tc>
        <w:tc>
          <w:tcPr>
            <w:tcW w:w="385" w:type="pct"/>
          </w:tcPr>
          <w:p w14:paraId="2CBA4D4C" w14:textId="2F863530" w:rsidR="00B04659" w:rsidRDefault="00894D62" w:rsidP="00894D62">
            <w:r>
              <w:t>33</w:t>
            </w:r>
          </w:p>
        </w:tc>
        <w:tc>
          <w:tcPr>
            <w:tcW w:w="384" w:type="pct"/>
          </w:tcPr>
          <w:p w14:paraId="5515B85A" w14:textId="0452924C" w:rsidR="00B04659" w:rsidRPr="00AA42ED" w:rsidRDefault="00894D62" w:rsidP="00894D62">
            <w:pPr>
              <w:rPr>
                <w:b/>
                <w:bCs/>
              </w:rPr>
            </w:pPr>
            <w:r w:rsidRPr="00AA42ED">
              <w:rPr>
                <w:b/>
                <w:bCs/>
              </w:rPr>
              <w:t>435</w:t>
            </w:r>
          </w:p>
        </w:tc>
      </w:tr>
      <w:tr w:rsidR="00894D62" w14:paraId="576E4393" w14:textId="3D4E3E92" w:rsidTr="00894D62">
        <w:tc>
          <w:tcPr>
            <w:tcW w:w="1097" w:type="pct"/>
          </w:tcPr>
          <w:p w14:paraId="0CA53A25" w14:textId="7A8E043E" w:rsidR="00B04659" w:rsidRPr="00894D62" w:rsidRDefault="00B04659" w:rsidP="00894D62">
            <w:pPr>
              <w:rPr>
                <w:b/>
                <w:bCs/>
              </w:rPr>
            </w:pPr>
            <w:r w:rsidRPr="00894D62">
              <w:rPr>
                <w:b/>
                <w:bCs/>
              </w:rPr>
              <w:t xml:space="preserve">Gender: </w:t>
            </w:r>
            <w:r w:rsidRPr="00894D62">
              <w:rPr>
                <w:b/>
                <w:bCs/>
              </w:rPr>
              <w:br/>
              <w:t>Female</w:t>
            </w:r>
          </w:p>
        </w:tc>
        <w:tc>
          <w:tcPr>
            <w:tcW w:w="387" w:type="pct"/>
          </w:tcPr>
          <w:p w14:paraId="39B45D5B" w14:textId="023FCD00" w:rsidR="00B04659" w:rsidRDefault="00B04659" w:rsidP="00894D62">
            <w:r>
              <w:t>22</w:t>
            </w:r>
          </w:p>
        </w:tc>
        <w:tc>
          <w:tcPr>
            <w:tcW w:w="369" w:type="pct"/>
          </w:tcPr>
          <w:p w14:paraId="0C4CE7CA" w14:textId="76C99A13" w:rsidR="00B04659" w:rsidRDefault="00894D62" w:rsidP="00894D62">
            <w:r>
              <w:t>42</w:t>
            </w:r>
          </w:p>
        </w:tc>
        <w:tc>
          <w:tcPr>
            <w:tcW w:w="400" w:type="pct"/>
          </w:tcPr>
          <w:p w14:paraId="2728C34C" w14:textId="4AC83F32" w:rsidR="00B04659" w:rsidRDefault="00894D62" w:rsidP="00894D62">
            <w:r>
              <w:t>29</w:t>
            </w:r>
          </w:p>
        </w:tc>
        <w:tc>
          <w:tcPr>
            <w:tcW w:w="385" w:type="pct"/>
          </w:tcPr>
          <w:p w14:paraId="00A104CB" w14:textId="06A4B6E0" w:rsidR="00B04659" w:rsidRDefault="00894D62" w:rsidP="00894D62">
            <w:r>
              <w:t>21</w:t>
            </w:r>
          </w:p>
        </w:tc>
        <w:tc>
          <w:tcPr>
            <w:tcW w:w="385" w:type="pct"/>
          </w:tcPr>
          <w:p w14:paraId="69B331A3" w14:textId="4A6E7487" w:rsidR="00B04659" w:rsidRDefault="00894D62" w:rsidP="00894D62">
            <w:r>
              <w:t>118</w:t>
            </w:r>
          </w:p>
        </w:tc>
        <w:tc>
          <w:tcPr>
            <w:tcW w:w="384" w:type="pct"/>
          </w:tcPr>
          <w:p w14:paraId="01B46154" w14:textId="6A7925E3" w:rsidR="00B04659" w:rsidRDefault="00894D62" w:rsidP="00894D62">
            <w:r>
              <w:t>19</w:t>
            </w:r>
          </w:p>
        </w:tc>
        <w:tc>
          <w:tcPr>
            <w:tcW w:w="440" w:type="pct"/>
          </w:tcPr>
          <w:p w14:paraId="377EE3D3" w14:textId="195BFD24" w:rsidR="00B04659" w:rsidRDefault="00894D62" w:rsidP="00894D62">
            <w:r>
              <w:t>26</w:t>
            </w:r>
          </w:p>
        </w:tc>
        <w:tc>
          <w:tcPr>
            <w:tcW w:w="384" w:type="pct"/>
          </w:tcPr>
          <w:p w14:paraId="639540BD" w14:textId="39A00FB8" w:rsidR="00B04659" w:rsidRDefault="00894D62" w:rsidP="00894D62">
            <w:r>
              <w:t>18</w:t>
            </w:r>
          </w:p>
        </w:tc>
        <w:tc>
          <w:tcPr>
            <w:tcW w:w="385" w:type="pct"/>
          </w:tcPr>
          <w:p w14:paraId="26EBD908" w14:textId="137A8FCD" w:rsidR="00B04659" w:rsidRDefault="00894D62" w:rsidP="00894D62">
            <w:r>
              <w:t>13</w:t>
            </w:r>
          </w:p>
        </w:tc>
        <w:tc>
          <w:tcPr>
            <w:tcW w:w="384" w:type="pct"/>
          </w:tcPr>
          <w:p w14:paraId="7DC333C3" w14:textId="03633978" w:rsidR="00B04659" w:rsidRPr="00AA42ED" w:rsidRDefault="00894D62" w:rsidP="00894D62">
            <w:pPr>
              <w:rPr>
                <w:b/>
                <w:bCs/>
              </w:rPr>
            </w:pPr>
            <w:r w:rsidRPr="00AA42ED">
              <w:rPr>
                <w:b/>
                <w:bCs/>
              </w:rPr>
              <w:t>308</w:t>
            </w:r>
          </w:p>
        </w:tc>
      </w:tr>
      <w:tr w:rsidR="00894D62" w14:paraId="758D47DB" w14:textId="44A5C00B" w:rsidTr="00894D62">
        <w:tc>
          <w:tcPr>
            <w:tcW w:w="1097" w:type="pct"/>
          </w:tcPr>
          <w:p w14:paraId="6DACBC34" w14:textId="3545C88B" w:rsidR="00B04659" w:rsidRPr="00894D62" w:rsidRDefault="00B04659" w:rsidP="00894D62">
            <w:pPr>
              <w:rPr>
                <w:b/>
                <w:bCs/>
              </w:rPr>
            </w:pPr>
            <w:r w:rsidRPr="00894D62">
              <w:rPr>
                <w:b/>
                <w:bCs/>
              </w:rPr>
              <w:t xml:space="preserve">Ethnicity: </w:t>
            </w:r>
            <w:r w:rsidRPr="00894D62">
              <w:rPr>
                <w:b/>
                <w:bCs/>
              </w:rPr>
              <w:br/>
              <w:t>American Indian</w:t>
            </w:r>
          </w:p>
        </w:tc>
        <w:tc>
          <w:tcPr>
            <w:tcW w:w="387" w:type="pct"/>
          </w:tcPr>
          <w:p w14:paraId="30FD03F3" w14:textId="64A837DD" w:rsidR="00B04659" w:rsidRDefault="00B04659" w:rsidP="00894D62">
            <w:r>
              <w:t>0</w:t>
            </w:r>
          </w:p>
        </w:tc>
        <w:tc>
          <w:tcPr>
            <w:tcW w:w="369" w:type="pct"/>
          </w:tcPr>
          <w:p w14:paraId="226981E4" w14:textId="5FEB6996" w:rsidR="00B04659" w:rsidRDefault="00894D62" w:rsidP="00894D62">
            <w:r>
              <w:t>0</w:t>
            </w:r>
          </w:p>
        </w:tc>
        <w:tc>
          <w:tcPr>
            <w:tcW w:w="400" w:type="pct"/>
          </w:tcPr>
          <w:p w14:paraId="5C8598E4" w14:textId="653E8F95" w:rsidR="00B04659" w:rsidRDefault="00894D62" w:rsidP="00894D62">
            <w:r>
              <w:t>0</w:t>
            </w:r>
          </w:p>
        </w:tc>
        <w:tc>
          <w:tcPr>
            <w:tcW w:w="385" w:type="pct"/>
          </w:tcPr>
          <w:p w14:paraId="37F6A332" w14:textId="2C173D24" w:rsidR="00B04659" w:rsidRDefault="00894D62" w:rsidP="00894D62">
            <w:r>
              <w:t>2</w:t>
            </w:r>
          </w:p>
        </w:tc>
        <w:tc>
          <w:tcPr>
            <w:tcW w:w="385" w:type="pct"/>
          </w:tcPr>
          <w:p w14:paraId="5C325E85" w14:textId="12916B24" w:rsidR="00B04659" w:rsidRDefault="00894D62" w:rsidP="00894D62">
            <w:r>
              <w:t>1</w:t>
            </w:r>
          </w:p>
        </w:tc>
        <w:tc>
          <w:tcPr>
            <w:tcW w:w="384" w:type="pct"/>
          </w:tcPr>
          <w:p w14:paraId="1513D459" w14:textId="6FC80E7B" w:rsidR="00B04659" w:rsidRDefault="00894D62" w:rsidP="00894D62">
            <w:r>
              <w:t>0</w:t>
            </w:r>
          </w:p>
        </w:tc>
        <w:tc>
          <w:tcPr>
            <w:tcW w:w="440" w:type="pct"/>
          </w:tcPr>
          <w:p w14:paraId="2F1DFFAA" w14:textId="68E06CAF" w:rsidR="00B04659" w:rsidRDefault="00894D62" w:rsidP="00894D62">
            <w:r>
              <w:t>0</w:t>
            </w:r>
          </w:p>
        </w:tc>
        <w:tc>
          <w:tcPr>
            <w:tcW w:w="384" w:type="pct"/>
          </w:tcPr>
          <w:p w14:paraId="3B33A0D0" w14:textId="04B653EA" w:rsidR="00B04659" w:rsidRDefault="00894D62" w:rsidP="00894D62">
            <w:r>
              <w:t>0</w:t>
            </w:r>
          </w:p>
        </w:tc>
        <w:tc>
          <w:tcPr>
            <w:tcW w:w="385" w:type="pct"/>
          </w:tcPr>
          <w:p w14:paraId="16385590" w14:textId="61BDDF6B" w:rsidR="00B04659" w:rsidRDefault="00894D62" w:rsidP="00894D62">
            <w:r>
              <w:t>2</w:t>
            </w:r>
          </w:p>
        </w:tc>
        <w:tc>
          <w:tcPr>
            <w:tcW w:w="384" w:type="pct"/>
          </w:tcPr>
          <w:p w14:paraId="25C537BF" w14:textId="4C30FA8A" w:rsidR="00B04659" w:rsidRPr="00AA42ED" w:rsidRDefault="00894D62" w:rsidP="00894D62">
            <w:pPr>
              <w:rPr>
                <w:b/>
                <w:bCs/>
              </w:rPr>
            </w:pPr>
            <w:r w:rsidRPr="00AA42ED">
              <w:rPr>
                <w:b/>
                <w:bCs/>
              </w:rPr>
              <w:t>5</w:t>
            </w:r>
          </w:p>
        </w:tc>
      </w:tr>
      <w:tr w:rsidR="00894D62" w14:paraId="5AC7EF9A" w14:textId="19F85462" w:rsidTr="00894D62">
        <w:tc>
          <w:tcPr>
            <w:tcW w:w="1097" w:type="pct"/>
          </w:tcPr>
          <w:p w14:paraId="6C2F27DD" w14:textId="512B464D" w:rsidR="00B04659" w:rsidRPr="00894D62" w:rsidRDefault="00B04659" w:rsidP="00894D62">
            <w:pPr>
              <w:rPr>
                <w:b/>
                <w:bCs/>
              </w:rPr>
            </w:pPr>
            <w:r w:rsidRPr="00894D62">
              <w:rPr>
                <w:b/>
                <w:bCs/>
              </w:rPr>
              <w:t xml:space="preserve">Ethnicity: </w:t>
            </w:r>
            <w:r w:rsidRPr="00894D62">
              <w:rPr>
                <w:b/>
                <w:bCs/>
              </w:rPr>
              <w:br/>
              <w:t>Asian</w:t>
            </w:r>
          </w:p>
        </w:tc>
        <w:tc>
          <w:tcPr>
            <w:tcW w:w="387" w:type="pct"/>
          </w:tcPr>
          <w:p w14:paraId="480AA0CF" w14:textId="24740257" w:rsidR="00B04659" w:rsidRDefault="00B04659" w:rsidP="00894D62">
            <w:r>
              <w:t>3</w:t>
            </w:r>
          </w:p>
        </w:tc>
        <w:tc>
          <w:tcPr>
            <w:tcW w:w="369" w:type="pct"/>
          </w:tcPr>
          <w:p w14:paraId="18826CDF" w14:textId="0E0864D7" w:rsidR="00B04659" w:rsidRDefault="00894D62" w:rsidP="00894D62">
            <w:r>
              <w:t>3</w:t>
            </w:r>
          </w:p>
        </w:tc>
        <w:tc>
          <w:tcPr>
            <w:tcW w:w="400" w:type="pct"/>
          </w:tcPr>
          <w:p w14:paraId="2841EC01" w14:textId="73114460" w:rsidR="00B04659" w:rsidRDefault="00894D62" w:rsidP="00894D62">
            <w:r>
              <w:t>1</w:t>
            </w:r>
          </w:p>
        </w:tc>
        <w:tc>
          <w:tcPr>
            <w:tcW w:w="385" w:type="pct"/>
          </w:tcPr>
          <w:p w14:paraId="18D75E0C" w14:textId="78790085" w:rsidR="00B04659" w:rsidRDefault="00894D62" w:rsidP="00894D62">
            <w:r>
              <w:t>1</w:t>
            </w:r>
          </w:p>
        </w:tc>
        <w:tc>
          <w:tcPr>
            <w:tcW w:w="385" w:type="pct"/>
          </w:tcPr>
          <w:p w14:paraId="08276B82" w14:textId="4612EE90" w:rsidR="00B04659" w:rsidRDefault="00894D62" w:rsidP="00894D62">
            <w:r>
              <w:t>14</w:t>
            </w:r>
          </w:p>
        </w:tc>
        <w:tc>
          <w:tcPr>
            <w:tcW w:w="384" w:type="pct"/>
          </w:tcPr>
          <w:p w14:paraId="2E6DE8A1" w14:textId="5F56E1D4" w:rsidR="00B04659" w:rsidRDefault="00894D62" w:rsidP="00894D62">
            <w:r>
              <w:t>1</w:t>
            </w:r>
          </w:p>
        </w:tc>
        <w:tc>
          <w:tcPr>
            <w:tcW w:w="440" w:type="pct"/>
          </w:tcPr>
          <w:p w14:paraId="0CD34186" w14:textId="1B117651" w:rsidR="00B04659" w:rsidRDefault="00894D62" w:rsidP="00894D62">
            <w:r>
              <w:t>2</w:t>
            </w:r>
          </w:p>
        </w:tc>
        <w:tc>
          <w:tcPr>
            <w:tcW w:w="384" w:type="pct"/>
          </w:tcPr>
          <w:p w14:paraId="79AF070A" w14:textId="535981BE" w:rsidR="00B04659" w:rsidRDefault="00894D62" w:rsidP="00894D62">
            <w:r>
              <w:t>2</w:t>
            </w:r>
          </w:p>
        </w:tc>
        <w:tc>
          <w:tcPr>
            <w:tcW w:w="385" w:type="pct"/>
          </w:tcPr>
          <w:p w14:paraId="01585CBB" w14:textId="60D17818" w:rsidR="00B04659" w:rsidRDefault="00894D62" w:rsidP="00894D62">
            <w:r>
              <w:t>1</w:t>
            </w:r>
          </w:p>
        </w:tc>
        <w:tc>
          <w:tcPr>
            <w:tcW w:w="384" w:type="pct"/>
          </w:tcPr>
          <w:p w14:paraId="66C9FDB4" w14:textId="6DC984BE" w:rsidR="00B04659" w:rsidRPr="00AA42ED" w:rsidRDefault="00894D62" w:rsidP="00894D62">
            <w:pPr>
              <w:rPr>
                <w:b/>
                <w:bCs/>
              </w:rPr>
            </w:pPr>
            <w:r w:rsidRPr="00AA42ED">
              <w:rPr>
                <w:b/>
                <w:bCs/>
              </w:rPr>
              <w:t>28</w:t>
            </w:r>
          </w:p>
        </w:tc>
      </w:tr>
      <w:tr w:rsidR="00894D62" w14:paraId="01F2F841" w14:textId="6E16D4E1" w:rsidTr="00894D62">
        <w:tc>
          <w:tcPr>
            <w:tcW w:w="1097" w:type="pct"/>
          </w:tcPr>
          <w:p w14:paraId="2BAC8306" w14:textId="0434CE98" w:rsidR="00B04659" w:rsidRPr="00894D62" w:rsidRDefault="00B04659" w:rsidP="00894D62">
            <w:pPr>
              <w:rPr>
                <w:b/>
                <w:bCs/>
              </w:rPr>
            </w:pPr>
            <w:r w:rsidRPr="00894D62">
              <w:rPr>
                <w:b/>
                <w:bCs/>
              </w:rPr>
              <w:t xml:space="preserve">Ethnicity: </w:t>
            </w:r>
            <w:r w:rsidRPr="00894D62">
              <w:rPr>
                <w:b/>
                <w:bCs/>
              </w:rPr>
              <w:br/>
              <w:t>Black</w:t>
            </w:r>
          </w:p>
        </w:tc>
        <w:tc>
          <w:tcPr>
            <w:tcW w:w="387" w:type="pct"/>
          </w:tcPr>
          <w:p w14:paraId="433FCEF2" w14:textId="118A810D" w:rsidR="00B04659" w:rsidRDefault="00B04659" w:rsidP="00894D62">
            <w:r>
              <w:t>8</w:t>
            </w:r>
          </w:p>
        </w:tc>
        <w:tc>
          <w:tcPr>
            <w:tcW w:w="369" w:type="pct"/>
          </w:tcPr>
          <w:p w14:paraId="72A1DA9C" w14:textId="52212C96" w:rsidR="00B04659" w:rsidRDefault="00894D62" w:rsidP="00894D62">
            <w:r>
              <w:t>19</w:t>
            </w:r>
          </w:p>
        </w:tc>
        <w:tc>
          <w:tcPr>
            <w:tcW w:w="400" w:type="pct"/>
          </w:tcPr>
          <w:p w14:paraId="35ACA102" w14:textId="050F5614" w:rsidR="00B04659" w:rsidRDefault="00894D62" w:rsidP="00894D62">
            <w:r>
              <w:t>6</w:t>
            </w:r>
          </w:p>
        </w:tc>
        <w:tc>
          <w:tcPr>
            <w:tcW w:w="385" w:type="pct"/>
          </w:tcPr>
          <w:p w14:paraId="3E44C0D0" w14:textId="3865FA2F" w:rsidR="00B04659" w:rsidRDefault="00894D62" w:rsidP="00894D62">
            <w:r>
              <w:t>4</w:t>
            </w:r>
          </w:p>
        </w:tc>
        <w:tc>
          <w:tcPr>
            <w:tcW w:w="385" w:type="pct"/>
          </w:tcPr>
          <w:p w14:paraId="14E04A12" w14:textId="7B04F646" w:rsidR="00B04659" w:rsidRDefault="00894D62" w:rsidP="00894D62">
            <w:r>
              <w:t>36</w:t>
            </w:r>
          </w:p>
        </w:tc>
        <w:tc>
          <w:tcPr>
            <w:tcW w:w="384" w:type="pct"/>
          </w:tcPr>
          <w:p w14:paraId="25FC4955" w14:textId="0868D8DD" w:rsidR="00B04659" w:rsidRDefault="00894D62" w:rsidP="00894D62">
            <w:r>
              <w:t>1</w:t>
            </w:r>
          </w:p>
        </w:tc>
        <w:tc>
          <w:tcPr>
            <w:tcW w:w="440" w:type="pct"/>
          </w:tcPr>
          <w:p w14:paraId="5E973DE5" w14:textId="72004B1D" w:rsidR="00B04659" w:rsidRDefault="00894D62" w:rsidP="00894D62">
            <w:r>
              <w:t>10</w:t>
            </w:r>
          </w:p>
        </w:tc>
        <w:tc>
          <w:tcPr>
            <w:tcW w:w="384" w:type="pct"/>
          </w:tcPr>
          <w:p w14:paraId="0E61ADD8" w14:textId="01E14ED4" w:rsidR="00B04659" w:rsidRDefault="00894D62" w:rsidP="00894D62">
            <w:r>
              <w:t>1</w:t>
            </w:r>
          </w:p>
        </w:tc>
        <w:tc>
          <w:tcPr>
            <w:tcW w:w="385" w:type="pct"/>
          </w:tcPr>
          <w:p w14:paraId="72FA7B32" w14:textId="3B99CD4B" w:rsidR="00B04659" w:rsidRDefault="00894D62" w:rsidP="00894D62">
            <w:r>
              <w:t>4</w:t>
            </w:r>
          </w:p>
        </w:tc>
        <w:tc>
          <w:tcPr>
            <w:tcW w:w="384" w:type="pct"/>
          </w:tcPr>
          <w:p w14:paraId="7CF1AA8E" w14:textId="12AD0B27" w:rsidR="00B04659" w:rsidRPr="00AA42ED" w:rsidRDefault="00894D62" w:rsidP="00894D62">
            <w:pPr>
              <w:rPr>
                <w:b/>
                <w:bCs/>
              </w:rPr>
            </w:pPr>
            <w:r w:rsidRPr="00AA42ED">
              <w:rPr>
                <w:b/>
                <w:bCs/>
              </w:rPr>
              <w:t>89</w:t>
            </w:r>
          </w:p>
        </w:tc>
      </w:tr>
      <w:tr w:rsidR="00894D62" w14:paraId="360B3DDA" w14:textId="5E28FC4D" w:rsidTr="00894D62">
        <w:tc>
          <w:tcPr>
            <w:tcW w:w="1097" w:type="pct"/>
          </w:tcPr>
          <w:p w14:paraId="5E0F487A" w14:textId="36900FE4" w:rsidR="00B04659" w:rsidRPr="00894D62" w:rsidRDefault="00B04659" w:rsidP="00894D62">
            <w:pPr>
              <w:rPr>
                <w:b/>
                <w:bCs/>
              </w:rPr>
            </w:pPr>
            <w:r w:rsidRPr="00894D62">
              <w:rPr>
                <w:b/>
                <w:bCs/>
              </w:rPr>
              <w:t>Ethnicity:</w:t>
            </w:r>
            <w:r w:rsidRPr="00894D62">
              <w:rPr>
                <w:b/>
                <w:bCs/>
              </w:rPr>
              <w:br/>
              <w:t>Hawaiian</w:t>
            </w:r>
          </w:p>
        </w:tc>
        <w:tc>
          <w:tcPr>
            <w:tcW w:w="387" w:type="pct"/>
          </w:tcPr>
          <w:p w14:paraId="612A7D06" w14:textId="0985811B" w:rsidR="00B04659" w:rsidRDefault="00B04659" w:rsidP="00894D62">
            <w:r>
              <w:t>3</w:t>
            </w:r>
          </w:p>
        </w:tc>
        <w:tc>
          <w:tcPr>
            <w:tcW w:w="369" w:type="pct"/>
          </w:tcPr>
          <w:p w14:paraId="00EB014D" w14:textId="3EBC9A5A" w:rsidR="00B04659" w:rsidRDefault="00AA42ED" w:rsidP="00894D62">
            <w:r>
              <w:t>0</w:t>
            </w:r>
          </w:p>
        </w:tc>
        <w:tc>
          <w:tcPr>
            <w:tcW w:w="400" w:type="pct"/>
          </w:tcPr>
          <w:p w14:paraId="14E1524C" w14:textId="647A466F" w:rsidR="00B04659" w:rsidRDefault="00AA42ED" w:rsidP="00894D62">
            <w:r>
              <w:t>3</w:t>
            </w:r>
          </w:p>
        </w:tc>
        <w:tc>
          <w:tcPr>
            <w:tcW w:w="385" w:type="pct"/>
          </w:tcPr>
          <w:p w14:paraId="694DA9AE" w14:textId="41ED0510" w:rsidR="00B04659" w:rsidRDefault="00AA42ED" w:rsidP="00894D62">
            <w:r>
              <w:t>2</w:t>
            </w:r>
          </w:p>
        </w:tc>
        <w:tc>
          <w:tcPr>
            <w:tcW w:w="385" w:type="pct"/>
          </w:tcPr>
          <w:p w14:paraId="6BCFF8BD" w14:textId="3CE81081" w:rsidR="00B04659" w:rsidRDefault="00AA42ED" w:rsidP="00894D62">
            <w:r>
              <w:t>1</w:t>
            </w:r>
          </w:p>
        </w:tc>
        <w:tc>
          <w:tcPr>
            <w:tcW w:w="384" w:type="pct"/>
          </w:tcPr>
          <w:p w14:paraId="46B30D11" w14:textId="2DCDE89A" w:rsidR="00B04659" w:rsidRDefault="00AA42ED" w:rsidP="00894D62">
            <w:r>
              <w:t>0</w:t>
            </w:r>
          </w:p>
        </w:tc>
        <w:tc>
          <w:tcPr>
            <w:tcW w:w="440" w:type="pct"/>
          </w:tcPr>
          <w:p w14:paraId="6F28FCBC" w14:textId="4F611737" w:rsidR="00B04659" w:rsidRDefault="00AA42ED" w:rsidP="00894D62">
            <w:r>
              <w:t>4</w:t>
            </w:r>
          </w:p>
        </w:tc>
        <w:tc>
          <w:tcPr>
            <w:tcW w:w="384" w:type="pct"/>
          </w:tcPr>
          <w:p w14:paraId="23B14C69" w14:textId="5AC46674" w:rsidR="00B04659" w:rsidRDefault="00AA42ED" w:rsidP="00894D62">
            <w:r>
              <w:t>0</w:t>
            </w:r>
          </w:p>
        </w:tc>
        <w:tc>
          <w:tcPr>
            <w:tcW w:w="385" w:type="pct"/>
          </w:tcPr>
          <w:p w14:paraId="7095908A" w14:textId="3B9B694D" w:rsidR="00B04659" w:rsidRDefault="00AA42ED" w:rsidP="00894D62">
            <w:r>
              <w:t>1</w:t>
            </w:r>
          </w:p>
        </w:tc>
        <w:tc>
          <w:tcPr>
            <w:tcW w:w="384" w:type="pct"/>
          </w:tcPr>
          <w:p w14:paraId="6563F368" w14:textId="544C6D69" w:rsidR="00B04659" w:rsidRPr="00AA42ED" w:rsidRDefault="00894D62" w:rsidP="00894D62">
            <w:pPr>
              <w:rPr>
                <w:b/>
                <w:bCs/>
              </w:rPr>
            </w:pPr>
            <w:r w:rsidRPr="00AA42ED">
              <w:rPr>
                <w:b/>
                <w:bCs/>
              </w:rPr>
              <w:t>14</w:t>
            </w:r>
          </w:p>
        </w:tc>
      </w:tr>
      <w:tr w:rsidR="00894D62" w14:paraId="7984E8B3" w14:textId="467DCA07" w:rsidTr="00894D62">
        <w:tc>
          <w:tcPr>
            <w:tcW w:w="1097" w:type="pct"/>
          </w:tcPr>
          <w:p w14:paraId="725E8CFB" w14:textId="238EDB50" w:rsidR="00B04659" w:rsidRPr="00894D62" w:rsidRDefault="00B04659" w:rsidP="00894D62">
            <w:pPr>
              <w:rPr>
                <w:b/>
                <w:bCs/>
              </w:rPr>
            </w:pPr>
            <w:r w:rsidRPr="00894D62">
              <w:rPr>
                <w:b/>
                <w:bCs/>
              </w:rPr>
              <w:lastRenderedPageBreak/>
              <w:t xml:space="preserve">Ethnicity: </w:t>
            </w:r>
            <w:r w:rsidRPr="00894D62">
              <w:rPr>
                <w:b/>
                <w:bCs/>
              </w:rPr>
              <w:br/>
              <w:t>Hispanic</w:t>
            </w:r>
          </w:p>
        </w:tc>
        <w:tc>
          <w:tcPr>
            <w:tcW w:w="387" w:type="pct"/>
          </w:tcPr>
          <w:p w14:paraId="6850A989" w14:textId="61B690D2" w:rsidR="00B04659" w:rsidRDefault="00B04659" w:rsidP="00894D62">
            <w:r>
              <w:t>8</w:t>
            </w:r>
          </w:p>
        </w:tc>
        <w:tc>
          <w:tcPr>
            <w:tcW w:w="369" w:type="pct"/>
          </w:tcPr>
          <w:p w14:paraId="02D0A43D" w14:textId="709DD83E" w:rsidR="00B04659" w:rsidRDefault="00AA42ED" w:rsidP="00894D62">
            <w:r>
              <w:t>12</w:t>
            </w:r>
          </w:p>
        </w:tc>
        <w:tc>
          <w:tcPr>
            <w:tcW w:w="400" w:type="pct"/>
          </w:tcPr>
          <w:p w14:paraId="7293FBD3" w14:textId="727DBA42" w:rsidR="00B04659" w:rsidRDefault="00AA42ED" w:rsidP="00894D62">
            <w:r>
              <w:t>4</w:t>
            </w:r>
          </w:p>
        </w:tc>
        <w:tc>
          <w:tcPr>
            <w:tcW w:w="385" w:type="pct"/>
          </w:tcPr>
          <w:p w14:paraId="5FEACBA9" w14:textId="5C5F59DB" w:rsidR="00B04659" w:rsidRDefault="00AA42ED" w:rsidP="00894D62">
            <w:r>
              <w:t>5</w:t>
            </w:r>
          </w:p>
        </w:tc>
        <w:tc>
          <w:tcPr>
            <w:tcW w:w="385" w:type="pct"/>
          </w:tcPr>
          <w:p w14:paraId="542BAD1E" w14:textId="1564D232" w:rsidR="00B04659" w:rsidRDefault="00AA42ED" w:rsidP="00894D62">
            <w:r>
              <w:t>31</w:t>
            </w:r>
          </w:p>
        </w:tc>
        <w:tc>
          <w:tcPr>
            <w:tcW w:w="384" w:type="pct"/>
          </w:tcPr>
          <w:p w14:paraId="1DC41BF7" w14:textId="57E077BE" w:rsidR="00B04659" w:rsidRDefault="00AA42ED" w:rsidP="00894D62">
            <w:r>
              <w:t>2</w:t>
            </w:r>
          </w:p>
        </w:tc>
        <w:tc>
          <w:tcPr>
            <w:tcW w:w="440" w:type="pct"/>
          </w:tcPr>
          <w:p w14:paraId="20643471" w14:textId="595E9AF9" w:rsidR="00B04659" w:rsidRDefault="00AA42ED" w:rsidP="00894D62">
            <w:r>
              <w:t>9</w:t>
            </w:r>
          </w:p>
        </w:tc>
        <w:tc>
          <w:tcPr>
            <w:tcW w:w="384" w:type="pct"/>
          </w:tcPr>
          <w:p w14:paraId="4DE471AE" w14:textId="1D6C3254" w:rsidR="00B04659" w:rsidRDefault="00AA42ED" w:rsidP="00894D62">
            <w:r>
              <w:t>9</w:t>
            </w:r>
          </w:p>
        </w:tc>
        <w:tc>
          <w:tcPr>
            <w:tcW w:w="385" w:type="pct"/>
          </w:tcPr>
          <w:p w14:paraId="34C2F39E" w14:textId="5AD37B42" w:rsidR="00B04659" w:rsidRDefault="00AA42ED" w:rsidP="00894D62">
            <w:r>
              <w:t>7</w:t>
            </w:r>
          </w:p>
        </w:tc>
        <w:tc>
          <w:tcPr>
            <w:tcW w:w="384" w:type="pct"/>
          </w:tcPr>
          <w:p w14:paraId="62BC41F0" w14:textId="69878F76" w:rsidR="00B04659" w:rsidRPr="00AA42ED" w:rsidRDefault="00894D62" w:rsidP="00894D62">
            <w:pPr>
              <w:rPr>
                <w:b/>
                <w:bCs/>
              </w:rPr>
            </w:pPr>
            <w:r w:rsidRPr="00AA42ED">
              <w:rPr>
                <w:b/>
                <w:bCs/>
              </w:rPr>
              <w:t>87</w:t>
            </w:r>
          </w:p>
        </w:tc>
      </w:tr>
      <w:tr w:rsidR="00894D62" w14:paraId="7F3FDDAE" w14:textId="6B3A7465" w:rsidTr="00894D62">
        <w:tc>
          <w:tcPr>
            <w:tcW w:w="1097" w:type="pct"/>
          </w:tcPr>
          <w:p w14:paraId="0C2B4ABD" w14:textId="54DA1CA4" w:rsidR="00B04659" w:rsidRPr="00894D62" w:rsidRDefault="00B04659" w:rsidP="00894D62">
            <w:pPr>
              <w:rPr>
                <w:b/>
                <w:bCs/>
              </w:rPr>
            </w:pPr>
            <w:r w:rsidRPr="00894D62">
              <w:rPr>
                <w:b/>
                <w:bCs/>
              </w:rPr>
              <w:t xml:space="preserve">Ethnicity: </w:t>
            </w:r>
            <w:r w:rsidRPr="00894D62">
              <w:rPr>
                <w:b/>
                <w:bCs/>
              </w:rPr>
              <w:br/>
              <w:t>White</w:t>
            </w:r>
          </w:p>
        </w:tc>
        <w:tc>
          <w:tcPr>
            <w:tcW w:w="387" w:type="pct"/>
          </w:tcPr>
          <w:p w14:paraId="7AE0057F" w14:textId="7EF8DDEA" w:rsidR="00B04659" w:rsidRDefault="00B04659" w:rsidP="00894D62">
            <w:r>
              <w:t>39</w:t>
            </w:r>
          </w:p>
        </w:tc>
        <w:tc>
          <w:tcPr>
            <w:tcW w:w="369" w:type="pct"/>
          </w:tcPr>
          <w:p w14:paraId="4C644C8F" w14:textId="0BAD44B4" w:rsidR="00B04659" w:rsidRDefault="00AA42ED" w:rsidP="00894D62">
            <w:r>
              <w:t>68</w:t>
            </w:r>
          </w:p>
        </w:tc>
        <w:tc>
          <w:tcPr>
            <w:tcW w:w="400" w:type="pct"/>
          </w:tcPr>
          <w:p w14:paraId="1513FF35" w14:textId="2C52CDDC" w:rsidR="00B04659" w:rsidRDefault="00AA42ED" w:rsidP="00894D62">
            <w:r>
              <w:t>45</w:t>
            </w:r>
          </w:p>
        </w:tc>
        <w:tc>
          <w:tcPr>
            <w:tcW w:w="385" w:type="pct"/>
          </w:tcPr>
          <w:p w14:paraId="4210A67B" w14:textId="61BE5DD0" w:rsidR="00B04659" w:rsidRDefault="00AA42ED" w:rsidP="00894D62">
            <w:r>
              <w:t>42</w:t>
            </w:r>
          </w:p>
        </w:tc>
        <w:tc>
          <w:tcPr>
            <w:tcW w:w="385" w:type="pct"/>
          </w:tcPr>
          <w:p w14:paraId="6C0B4B83" w14:textId="643FFBDE" w:rsidR="00B04659" w:rsidRDefault="00AA42ED" w:rsidP="00894D62">
            <w:r>
              <w:t>163</w:t>
            </w:r>
          </w:p>
        </w:tc>
        <w:tc>
          <w:tcPr>
            <w:tcW w:w="384" w:type="pct"/>
          </w:tcPr>
          <w:p w14:paraId="2BFC70FC" w14:textId="0B8A8E6E" w:rsidR="00B04659" w:rsidRDefault="00AA42ED" w:rsidP="00894D62">
            <w:r>
              <w:t>40</w:t>
            </w:r>
          </w:p>
        </w:tc>
        <w:tc>
          <w:tcPr>
            <w:tcW w:w="440" w:type="pct"/>
          </w:tcPr>
          <w:p w14:paraId="1362F3CA" w14:textId="1485400E" w:rsidR="00B04659" w:rsidRDefault="00AA42ED" w:rsidP="00894D62">
            <w:r>
              <w:t>45</w:t>
            </w:r>
          </w:p>
        </w:tc>
        <w:tc>
          <w:tcPr>
            <w:tcW w:w="384" w:type="pct"/>
          </w:tcPr>
          <w:p w14:paraId="60891B1B" w14:textId="5FAC7658" w:rsidR="00B04659" w:rsidRDefault="00AA42ED" w:rsidP="00894D62">
            <w:r>
              <w:t>29</w:t>
            </w:r>
          </w:p>
        </w:tc>
        <w:tc>
          <w:tcPr>
            <w:tcW w:w="385" w:type="pct"/>
          </w:tcPr>
          <w:p w14:paraId="08058C8E" w14:textId="4E552CA9" w:rsidR="00B04659" w:rsidRDefault="00AA42ED" w:rsidP="00894D62">
            <w:r>
              <w:t>30</w:t>
            </w:r>
          </w:p>
        </w:tc>
        <w:tc>
          <w:tcPr>
            <w:tcW w:w="384" w:type="pct"/>
          </w:tcPr>
          <w:p w14:paraId="3C902939" w14:textId="6A46B1DA" w:rsidR="00B04659" w:rsidRPr="00AA42ED" w:rsidRDefault="00894D62" w:rsidP="00894D62">
            <w:pPr>
              <w:rPr>
                <w:b/>
                <w:bCs/>
              </w:rPr>
            </w:pPr>
            <w:r w:rsidRPr="00AA42ED">
              <w:rPr>
                <w:b/>
                <w:bCs/>
              </w:rPr>
              <w:t>501</w:t>
            </w:r>
          </w:p>
        </w:tc>
      </w:tr>
      <w:tr w:rsidR="00894D62" w14:paraId="394B4ACA" w14:textId="018A4428" w:rsidTr="00894D62">
        <w:tc>
          <w:tcPr>
            <w:tcW w:w="1097" w:type="pct"/>
          </w:tcPr>
          <w:p w14:paraId="47BECC6F" w14:textId="4E89B597" w:rsidR="00B04659" w:rsidRPr="00894D62" w:rsidRDefault="00B04659" w:rsidP="00894D62">
            <w:pPr>
              <w:rPr>
                <w:b/>
                <w:bCs/>
              </w:rPr>
            </w:pPr>
            <w:r w:rsidRPr="00894D62">
              <w:rPr>
                <w:b/>
                <w:bCs/>
              </w:rPr>
              <w:t xml:space="preserve">Ethnicity: </w:t>
            </w:r>
            <w:r w:rsidRPr="00894D62">
              <w:rPr>
                <w:b/>
                <w:bCs/>
              </w:rPr>
              <w:br/>
              <w:t>Unspecified</w:t>
            </w:r>
          </w:p>
        </w:tc>
        <w:tc>
          <w:tcPr>
            <w:tcW w:w="387" w:type="pct"/>
          </w:tcPr>
          <w:p w14:paraId="502868DA" w14:textId="2C666201" w:rsidR="00B04659" w:rsidRDefault="00B04659" w:rsidP="00894D62">
            <w:r>
              <w:t>0</w:t>
            </w:r>
          </w:p>
        </w:tc>
        <w:tc>
          <w:tcPr>
            <w:tcW w:w="369" w:type="pct"/>
          </w:tcPr>
          <w:p w14:paraId="49212140" w14:textId="349F3779" w:rsidR="00B04659" w:rsidRDefault="00AA42ED" w:rsidP="00894D62">
            <w:r>
              <w:t>3</w:t>
            </w:r>
          </w:p>
        </w:tc>
        <w:tc>
          <w:tcPr>
            <w:tcW w:w="400" w:type="pct"/>
          </w:tcPr>
          <w:p w14:paraId="159A2437" w14:textId="5B1FDBE5" w:rsidR="00B04659" w:rsidRDefault="00AA42ED" w:rsidP="00894D62">
            <w:r>
              <w:t>0</w:t>
            </w:r>
          </w:p>
        </w:tc>
        <w:tc>
          <w:tcPr>
            <w:tcW w:w="385" w:type="pct"/>
          </w:tcPr>
          <w:p w14:paraId="1F5552C4" w14:textId="7043D035" w:rsidR="00B04659" w:rsidRDefault="00AA42ED" w:rsidP="00894D62">
            <w:r>
              <w:t>1</w:t>
            </w:r>
          </w:p>
        </w:tc>
        <w:tc>
          <w:tcPr>
            <w:tcW w:w="385" w:type="pct"/>
          </w:tcPr>
          <w:p w14:paraId="694BF56A" w14:textId="7497704B" w:rsidR="00B04659" w:rsidRDefault="00AA42ED" w:rsidP="00894D62">
            <w:r>
              <w:t>7</w:t>
            </w:r>
          </w:p>
        </w:tc>
        <w:tc>
          <w:tcPr>
            <w:tcW w:w="384" w:type="pct"/>
          </w:tcPr>
          <w:p w14:paraId="748EA4B7" w14:textId="70BBF4CA" w:rsidR="00B04659" w:rsidRDefault="00AA42ED" w:rsidP="00894D62">
            <w:r>
              <w:t>4</w:t>
            </w:r>
          </w:p>
        </w:tc>
        <w:tc>
          <w:tcPr>
            <w:tcW w:w="440" w:type="pct"/>
          </w:tcPr>
          <w:p w14:paraId="7174A144" w14:textId="75AAD9D9" w:rsidR="00B04659" w:rsidRDefault="00AA42ED" w:rsidP="00894D62">
            <w:r>
              <w:t>0</w:t>
            </w:r>
          </w:p>
        </w:tc>
        <w:tc>
          <w:tcPr>
            <w:tcW w:w="384" w:type="pct"/>
          </w:tcPr>
          <w:p w14:paraId="1DB660A4" w14:textId="36744C66" w:rsidR="00B04659" w:rsidRDefault="00AA42ED" w:rsidP="00894D62">
            <w:r>
              <w:t>3</w:t>
            </w:r>
          </w:p>
        </w:tc>
        <w:tc>
          <w:tcPr>
            <w:tcW w:w="385" w:type="pct"/>
          </w:tcPr>
          <w:p w14:paraId="5B54A77E" w14:textId="26A3B48E" w:rsidR="00B04659" w:rsidRDefault="00AA42ED" w:rsidP="00894D62">
            <w:r>
              <w:t>1</w:t>
            </w:r>
          </w:p>
        </w:tc>
        <w:tc>
          <w:tcPr>
            <w:tcW w:w="384" w:type="pct"/>
          </w:tcPr>
          <w:p w14:paraId="30655AD8" w14:textId="6FD95A0A" w:rsidR="00B04659" w:rsidRPr="00AA42ED" w:rsidRDefault="00894D62" w:rsidP="00894D62">
            <w:pPr>
              <w:rPr>
                <w:b/>
                <w:bCs/>
              </w:rPr>
            </w:pPr>
            <w:r w:rsidRPr="00AA42ED">
              <w:rPr>
                <w:b/>
                <w:bCs/>
              </w:rPr>
              <w:t>19</w:t>
            </w:r>
          </w:p>
        </w:tc>
      </w:tr>
      <w:tr w:rsidR="00894D62" w14:paraId="244A4539" w14:textId="3B5ADFAB" w:rsidTr="00894D62">
        <w:tc>
          <w:tcPr>
            <w:tcW w:w="1097" w:type="pct"/>
          </w:tcPr>
          <w:p w14:paraId="388A6CBA" w14:textId="14083EEB" w:rsidR="00B04659" w:rsidRPr="00894D62" w:rsidRDefault="00B04659" w:rsidP="00894D62">
            <w:pPr>
              <w:rPr>
                <w:b/>
                <w:bCs/>
              </w:rPr>
            </w:pPr>
            <w:r w:rsidRPr="00894D62">
              <w:rPr>
                <w:b/>
                <w:bCs/>
              </w:rPr>
              <w:t xml:space="preserve">Grade: </w:t>
            </w:r>
            <w:r w:rsidRPr="00894D62">
              <w:rPr>
                <w:b/>
                <w:bCs/>
              </w:rPr>
              <w:br/>
              <w:t>Early Access</w:t>
            </w:r>
          </w:p>
        </w:tc>
        <w:tc>
          <w:tcPr>
            <w:tcW w:w="387" w:type="pct"/>
          </w:tcPr>
          <w:p w14:paraId="1880E7D3" w14:textId="6ECA8DE9" w:rsidR="00B04659" w:rsidRDefault="00B04659" w:rsidP="00894D62">
            <w:r>
              <w:t>9</w:t>
            </w:r>
          </w:p>
        </w:tc>
        <w:tc>
          <w:tcPr>
            <w:tcW w:w="369" w:type="pct"/>
          </w:tcPr>
          <w:p w14:paraId="4865829E" w14:textId="043A6AC4" w:rsidR="00B04659" w:rsidRDefault="00AA42ED" w:rsidP="00894D62">
            <w:r>
              <w:t>10</w:t>
            </w:r>
          </w:p>
        </w:tc>
        <w:tc>
          <w:tcPr>
            <w:tcW w:w="400" w:type="pct"/>
          </w:tcPr>
          <w:p w14:paraId="306159E7" w14:textId="501EA22A" w:rsidR="00B04659" w:rsidRDefault="00AA42ED" w:rsidP="00894D62">
            <w:r>
              <w:t>8</w:t>
            </w:r>
          </w:p>
        </w:tc>
        <w:tc>
          <w:tcPr>
            <w:tcW w:w="385" w:type="pct"/>
          </w:tcPr>
          <w:p w14:paraId="7FD077CA" w14:textId="4240119B" w:rsidR="00B04659" w:rsidRDefault="00AA42ED" w:rsidP="00894D62">
            <w:r>
              <w:t>0</w:t>
            </w:r>
          </w:p>
        </w:tc>
        <w:tc>
          <w:tcPr>
            <w:tcW w:w="385" w:type="pct"/>
          </w:tcPr>
          <w:p w14:paraId="46D98FC4" w14:textId="5000777F" w:rsidR="00B04659" w:rsidRDefault="00AA42ED" w:rsidP="00894D62">
            <w:r>
              <w:t>16</w:t>
            </w:r>
          </w:p>
        </w:tc>
        <w:tc>
          <w:tcPr>
            <w:tcW w:w="384" w:type="pct"/>
          </w:tcPr>
          <w:p w14:paraId="27B4ADF7" w14:textId="3CF5212C" w:rsidR="00B04659" w:rsidRDefault="00AA42ED" w:rsidP="00894D62">
            <w:r>
              <w:t>5</w:t>
            </w:r>
          </w:p>
        </w:tc>
        <w:tc>
          <w:tcPr>
            <w:tcW w:w="440" w:type="pct"/>
          </w:tcPr>
          <w:p w14:paraId="322E4ED3" w14:textId="23066D41" w:rsidR="00B04659" w:rsidRDefault="00AA42ED" w:rsidP="00894D62">
            <w:r>
              <w:t>1</w:t>
            </w:r>
          </w:p>
        </w:tc>
        <w:tc>
          <w:tcPr>
            <w:tcW w:w="384" w:type="pct"/>
          </w:tcPr>
          <w:p w14:paraId="1AB9244D" w14:textId="489A090A" w:rsidR="00B04659" w:rsidRDefault="00AA42ED" w:rsidP="00894D62">
            <w:r>
              <w:t>4</w:t>
            </w:r>
          </w:p>
        </w:tc>
        <w:tc>
          <w:tcPr>
            <w:tcW w:w="385" w:type="pct"/>
          </w:tcPr>
          <w:p w14:paraId="785D9025" w14:textId="5859A7D6" w:rsidR="00B04659" w:rsidRDefault="00AA42ED" w:rsidP="00894D62">
            <w:r>
              <w:t>5</w:t>
            </w:r>
          </w:p>
        </w:tc>
        <w:tc>
          <w:tcPr>
            <w:tcW w:w="384" w:type="pct"/>
          </w:tcPr>
          <w:p w14:paraId="2843883D" w14:textId="03598808" w:rsidR="00B04659" w:rsidRPr="00AA42ED" w:rsidRDefault="00894D62" w:rsidP="00894D62">
            <w:pPr>
              <w:rPr>
                <w:b/>
                <w:bCs/>
              </w:rPr>
            </w:pPr>
            <w:r w:rsidRPr="00AA42ED">
              <w:rPr>
                <w:b/>
                <w:bCs/>
              </w:rPr>
              <w:t>58</w:t>
            </w:r>
          </w:p>
        </w:tc>
      </w:tr>
      <w:tr w:rsidR="00894D62" w14:paraId="699394F9" w14:textId="41CE579D" w:rsidTr="00894D62">
        <w:tc>
          <w:tcPr>
            <w:tcW w:w="1097" w:type="pct"/>
          </w:tcPr>
          <w:p w14:paraId="2D5E5F1D" w14:textId="1B6287C7" w:rsidR="00B04659" w:rsidRPr="00894D62" w:rsidRDefault="00B04659" w:rsidP="00894D62">
            <w:pPr>
              <w:rPr>
                <w:b/>
                <w:bCs/>
              </w:rPr>
            </w:pPr>
            <w:r w:rsidRPr="00894D62">
              <w:rPr>
                <w:b/>
                <w:bCs/>
              </w:rPr>
              <w:t xml:space="preserve">Grade: </w:t>
            </w:r>
            <w:r w:rsidRPr="00894D62">
              <w:rPr>
                <w:b/>
                <w:bCs/>
              </w:rPr>
              <w:br/>
              <w:t>PK-5</w:t>
            </w:r>
          </w:p>
        </w:tc>
        <w:tc>
          <w:tcPr>
            <w:tcW w:w="387" w:type="pct"/>
          </w:tcPr>
          <w:p w14:paraId="504E5EB1" w14:textId="52702DA2" w:rsidR="00B04659" w:rsidRDefault="00B04659" w:rsidP="00894D62">
            <w:r>
              <w:t>27</w:t>
            </w:r>
          </w:p>
        </w:tc>
        <w:tc>
          <w:tcPr>
            <w:tcW w:w="369" w:type="pct"/>
          </w:tcPr>
          <w:p w14:paraId="2D340EC0" w14:textId="4FDA0336" w:rsidR="00B04659" w:rsidRDefault="00AA42ED" w:rsidP="00894D62">
            <w:r>
              <w:t>51</w:t>
            </w:r>
          </w:p>
        </w:tc>
        <w:tc>
          <w:tcPr>
            <w:tcW w:w="400" w:type="pct"/>
          </w:tcPr>
          <w:p w14:paraId="498F1C24" w14:textId="706A9E9C" w:rsidR="00B04659" w:rsidRDefault="00AA42ED" w:rsidP="00894D62">
            <w:r>
              <w:t>33</w:t>
            </w:r>
          </w:p>
        </w:tc>
        <w:tc>
          <w:tcPr>
            <w:tcW w:w="385" w:type="pct"/>
          </w:tcPr>
          <w:p w14:paraId="727C4268" w14:textId="35C881C0" w:rsidR="00B04659" w:rsidRDefault="00AA42ED" w:rsidP="00894D62">
            <w:r>
              <w:t>27</w:t>
            </w:r>
          </w:p>
        </w:tc>
        <w:tc>
          <w:tcPr>
            <w:tcW w:w="385" w:type="pct"/>
          </w:tcPr>
          <w:p w14:paraId="306FFA73" w14:textId="01CDC90A" w:rsidR="00B04659" w:rsidRDefault="00AA42ED" w:rsidP="00894D62">
            <w:r>
              <w:t>131</w:t>
            </w:r>
          </w:p>
        </w:tc>
        <w:tc>
          <w:tcPr>
            <w:tcW w:w="384" w:type="pct"/>
          </w:tcPr>
          <w:p w14:paraId="024A62C4" w14:textId="56E37CF4" w:rsidR="00B04659" w:rsidRDefault="00AA42ED" w:rsidP="00894D62">
            <w:r>
              <w:t>22</w:t>
            </w:r>
          </w:p>
        </w:tc>
        <w:tc>
          <w:tcPr>
            <w:tcW w:w="440" w:type="pct"/>
          </w:tcPr>
          <w:p w14:paraId="5B593155" w14:textId="0178788A" w:rsidR="00B04659" w:rsidRDefault="00AA42ED" w:rsidP="00894D62">
            <w:r>
              <w:t>43</w:t>
            </w:r>
          </w:p>
        </w:tc>
        <w:tc>
          <w:tcPr>
            <w:tcW w:w="384" w:type="pct"/>
          </w:tcPr>
          <w:p w14:paraId="15BA1A1F" w14:textId="6ADE4804" w:rsidR="00B04659" w:rsidRDefault="00AA42ED" w:rsidP="00894D62">
            <w:r>
              <w:t>26</w:t>
            </w:r>
          </w:p>
        </w:tc>
        <w:tc>
          <w:tcPr>
            <w:tcW w:w="385" w:type="pct"/>
          </w:tcPr>
          <w:p w14:paraId="355005DE" w14:textId="2B749A08" w:rsidR="00B04659" w:rsidRDefault="00AA42ED" w:rsidP="00894D62">
            <w:r>
              <w:t>25</w:t>
            </w:r>
          </w:p>
        </w:tc>
        <w:tc>
          <w:tcPr>
            <w:tcW w:w="384" w:type="pct"/>
          </w:tcPr>
          <w:p w14:paraId="2403F881" w14:textId="27C4A8A5" w:rsidR="00B04659" w:rsidRPr="00AA42ED" w:rsidRDefault="00894D62" w:rsidP="00894D62">
            <w:pPr>
              <w:rPr>
                <w:b/>
                <w:bCs/>
              </w:rPr>
            </w:pPr>
            <w:r w:rsidRPr="00AA42ED">
              <w:rPr>
                <w:b/>
                <w:bCs/>
              </w:rPr>
              <w:t>385</w:t>
            </w:r>
          </w:p>
        </w:tc>
      </w:tr>
      <w:tr w:rsidR="00894D62" w14:paraId="3803597E" w14:textId="476137DE" w:rsidTr="00894D62">
        <w:tc>
          <w:tcPr>
            <w:tcW w:w="1097" w:type="pct"/>
          </w:tcPr>
          <w:p w14:paraId="2744951B" w14:textId="2DFF9EEE" w:rsidR="00B04659" w:rsidRPr="00894D62" w:rsidRDefault="00B04659" w:rsidP="00894D62">
            <w:pPr>
              <w:rPr>
                <w:b/>
                <w:bCs/>
              </w:rPr>
            </w:pPr>
            <w:r w:rsidRPr="00894D62">
              <w:rPr>
                <w:b/>
                <w:bCs/>
              </w:rPr>
              <w:t xml:space="preserve">Grade: </w:t>
            </w:r>
            <w:r w:rsidRPr="00894D62">
              <w:rPr>
                <w:b/>
                <w:bCs/>
              </w:rPr>
              <w:br/>
              <w:t>6-8</w:t>
            </w:r>
          </w:p>
        </w:tc>
        <w:tc>
          <w:tcPr>
            <w:tcW w:w="387" w:type="pct"/>
          </w:tcPr>
          <w:p w14:paraId="5DC70B24" w14:textId="34937D70" w:rsidR="00B04659" w:rsidRDefault="00B04659" w:rsidP="00894D62">
            <w:r>
              <w:t>7</w:t>
            </w:r>
          </w:p>
        </w:tc>
        <w:tc>
          <w:tcPr>
            <w:tcW w:w="369" w:type="pct"/>
          </w:tcPr>
          <w:p w14:paraId="052DF23D" w14:textId="0CF6D019" w:rsidR="00B04659" w:rsidRDefault="00AA42ED" w:rsidP="00894D62">
            <w:r>
              <w:t>23</w:t>
            </w:r>
          </w:p>
        </w:tc>
        <w:tc>
          <w:tcPr>
            <w:tcW w:w="400" w:type="pct"/>
          </w:tcPr>
          <w:p w14:paraId="711681AC" w14:textId="739A1031" w:rsidR="00B04659" w:rsidRDefault="00AA42ED" w:rsidP="00894D62">
            <w:r>
              <w:t>9</w:t>
            </w:r>
          </w:p>
        </w:tc>
        <w:tc>
          <w:tcPr>
            <w:tcW w:w="385" w:type="pct"/>
          </w:tcPr>
          <w:p w14:paraId="110807C8" w14:textId="67646A40" w:rsidR="00B04659" w:rsidRDefault="00AA42ED" w:rsidP="00894D62">
            <w:r>
              <w:t>11</w:t>
            </w:r>
          </w:p>
        </w:tc>
        <w:tc>
          <w:tcPr>
            <w:tcW w:w="385" w:type="pct"/>
          </w:tcPr>
          <w:p w14:paraId="25E9C75B" w14:textId="2FD3EB79" w:rsidR="00B04659" w:rsidRDefault="00AA42ED" w:rsidP="00894D62">
            <w:r>
              <w:t>41</w:t>
            </w:r>
          </w:p>
        </w:tc>
        <w:tc>
          <w:tcPr>
            <w:tcW w:w="384" w:type="pct"/>
          </w:tcPr>
          <w:p w14:paraId="0A559DFD" w14:textId="6FFD5240" w:rsidR="00B04659" w:rsidRDefault="00AA42ED" w:rsidP="00894D62">
            <w:r>
              <w:t>9</w:t>
            </w:r>
          </w:p>
        </w:tc>
        <w:tc>
          <w:tcPr>
            <w:tcW w:w="440" w:type="pct"/>
          </w:tcPr>
          <w:p w14:paraId="640897B1" w14:textId="6EA24B82" w:rsidR="00B04659" w:rsidRDefault="00AA42ED" w:rsidP="00894D62">
            <w:r>
              <w:t>10</w:t>
            </w:r>
          </w:p>
        </w:tc>
        <w:tc>
          <w:tcPr>
            <w:tcW w:w="384" w:type="pct"/>
          </w:tcPr>
          <w:p w14:paraId="5E99FD89" w14:textId="6337AA78" w:rsidR="00B04659" w:rsidRDefault="00AA42ED" w:rsidP="00894D62">
            <w:r>
              <w:t>4</w:t>
            </w:r>
          </w:p>
        </w:tc>
        <w:tc>
          <w:tcPr>
            <w:tcW w:w="385" w:type="pct"/>
          </w:tcPr>
          <w:p w14:paraId="7A052C2E" w14:textId="69939B2D" w:rsidR="00B04659" w:rsidRDefault="00AA42ED" w:rsidP="00894D62">
            <w:r>
              <w:t>6</w:t>
            </w:r>
          </w:p>
        </w:tc>
        <w:tc>
          <w:tcPr>
            <w:tcW w:w="384" w:type="pct"/>
          </w:tcPr>
          <w:p w14:paraId="77A912AA" w14:textId="5F53B799" w:rsidR="00B04659" w:rsidRPr="00AA42ED" w:rsidRDefault="00894D62" w:rsidP="00894D62">
            <w:pPr>
              <w:rPr>
                <w:b/>
                <w:bCs/>
              </w:rPr>
            </w:pPr>
            <w:r w:rsidRPr="00AA42ED">
              <w:rPr>
                <w:b/>
                <w:bCs/>
              </w:rPr>
              <w:t>120</w:t>
            </w:r>
          </w:p>
        </w:tc>
      </w:tr>
      <w:tr w:rsidR="00894D62" w14:paraId="03A3E127" w14:textId="2C3E0DDA" w:rsidTr="00894D62">
        <w:tc>
          <w:tcPr>
            <w:tcW w:w="1097" w:type="pct"/>
          </w:tcPr>
          <w:p w14:paraId="0F865501" w14:textId="4280EECC" w:rsidR="00B04659" w:rsidRPr="00894D62" w:rsidRDefault="00B04659" w:rsidP="00894D62">
            <w:pPr>
              <w:rPr>
                <w:b/>
                <w:bCs/>
              </w:rPr>
            </w:pPr>
            <w:r w:rsidRPr="00894D62">
              <w:rPr>
                <w:b/>
                <w:bCs/>
              </w:rPr>
              <w:t xml:space="preserve">Grade: </w:t>
            </w:r>
            <w:r w:rsidRPr="00894D62">
              <w:rPr>
                <w:b/>
                <w:bCs/>
              </w:rPr>
              <w:br/>
              <w:t>9-12</w:t>
            </w:r>
          </w:p>
        </w:tc>
        <w:tc>
          <w:tcPr>
            <w:tcW w:w="387" w:type="pct"/>
          </w:tcPr>
          <w:p w14:paraId="738D0273" w14:textId="48467461" w:rsidR="00B04659" w:rsidRDefault="00B04659" w:rsidP="00894D62">
            <w:r>
              <w:t>16</w:t>
            </w:r>
          </w:p>
        </w:tc>
        <w:tc>
          <w:tcPr>
            <w:tcW w:w="369" w:type="pct"/>
          </w:tcPr>
          <w:p w14:paraId="3A3CE194" w14:textId="6215148F" w:rsidR="00B04659" w:rsidRDefault="00AA42ED" w:rsidP="00894D62">
            <w:r>
              <w:t>19</w:t>
            </w:r>
          </w:p>
        </w:tc>
        <w:tc>
          <w:tcPr>
            <w:tcW w:w="400" w:type="pct"/>
          </w:tcPr>
          <w:p w14:paraId="5F5016B4" w14:textId="5DC292E8" w:rsidR="00B04659" w:rsidRDefault="00AA42ED" w:rsidP="00894D62">
            <w:r>
              <w:t>8</w:t>
            </w:r>
          </w:p>
        </w:tc>
        <w:tc>
          <w:tcPr>
            <w:tcW w:w="385" w:type="pct"/>
          </w:tcPr>
          <w:p w14:paraId="53149639" w14:textId="0C8AA9C6" w:rsidR="00B04659" w:rsidRDefault="00AA42ED" w:rsidP="00894D62">
            <w:r>
              <w:t>9</w:t>
            </w:r>
          </w:p>
        </w:tc>
        <w:tc>
          <w:tcPr>
            <w:tcW w:w="385" w:type="pct"/>
          </w:tcPr>
          <w:p w14:paraId="3624C5F2" w14:textId="10FF89D0" w:rsidR="00B04659" w:rsidRDefault="00AA42ED" w:rsidP="00894D62">
            <w:r>
              <w:t>53</w:t>
            </w:r>
          </w:p>
        </w:tc>
        <w:tc>
          <w:tcPr>
            <w:tcW w:w="384" w:type="pct"/>
          </w:tcPr>
          <w:p w14:paraId="738985AC" w14:textId="345E8B20" w:rsidR="00B04659" w:rsidRDefault="00AA42ED" w:rsidP="00894D62">
            <w:r>
              <w:t>11</w:t>
            </w:r>
          </w:p>
        </w:tc>
        <w:tc>
          <w:tcPr>
            <w:tcW w:w="440" w:type="pct"/>
          </w:tcPr>
          <w:p w14:paraId="5D2FB65C" w14:textId="2DDA26AC" w:rsidR="00B04659" w:rsidRDefault="00AA42ED" w:rsidP="00894D62">
            <w:r>
              <w:t>13</w:t>
            </w:r>
          </w:p>
        </w:tc>
        <w:tc>
          <w:tcPr>
            <w:tcW w:w="384" w:type="pct"/>
          </w:tcPr>
          <w:p w14:paraId="28492715" w14:textId="250A6542" w:rsidR="00B04659" w:rsidRDefault="00AA42ED" w:rsidP="00894D62">
            <w:r>
              <w:t>9</w:t>
            </w:r>
          </w:p>
        </w:tc>
        <w:tc>
          <w:tcPr>
            <w:tcW w:w="385" w:type="pct"/>
          </w:tcPr>
          <w:p w14:paraId="569CBBE6" w14:textId="6E1D6645" w:rsidR="00B04659" w:rsidRDefault="00AA42ED" w:rsidP="00894D62">
            <w:r>
              <w:t>10</w:t>
            </w:r>
          </w:p>
        </w:tc>
        <w:tc>
          <w:tcPr>
            <w:tcW w:w="384" w:type="pct"/>
          </w:tcPr>
          <w:p w14:paraId="63A6350B" w14:textId="5973FFDF" w:rsidR="00B04659" w:rsidRPr="00AA42ED" w:rsidRDefault="00894D62" w:rsidP="00894D62">
            <w:pPr>
              <w:rPr>
                <w:b/>
                <w:bCs/>
              </w:rPr>
            </w:pPr>
            <w:r w:rsidRPr="00AA42ED">
              <w:rPr>
                <w:b/>
                <w:bCs/>
              </w:rPr>
              <w:t>148</w:t>
            </w:r>
          </w:p>
        </w:tc>
      </w:tr>
      <w:tr w:rsidR="00894D62" w14:paraId="6AFBE036" w14:textId="7A4DC075" w:rsidTr="00894D62">
        <w:tc>
          <w:tcPr>
            <w:tcW w:w="1097" w:type="pct"/>
          </w:tcPr>
          <w:p w14:paraId="1F7599B6" w14:textId="62FB2DC5" w:rsidR="00B04659" w:rsidRPr="00894D62" w:rsidRDefault="00B04659" w:rsidP="00894D62">
            <w:pPr>
              <w:rPr>
                <w:b/>
                <w:bCs/>
              </w:rPr>
            </w:pPr>
            <w:r w:rsidRPr="00894D62">
              <w:rPr>
                <w:b/>
                <w:bCs/>
              </w:rPr>
              <w:t xml:space="preserve">Grade: </w:t>
            </w:r>
            <w:r w:rsidRPr="00894D62">
              <w:rPr>
                <w:b/>
                <w:bCs/>
              </w:rPr>
              <w:br/>
              <w:t>12+</w:t>
            </w:r>
          </w:p>
        </w:tc>
        <w:tc>
          <w:tcPr>
            <w:tcW w:w="387" w:type="pct"/>
          </w:tcPr>
          <w:p w14:paraId="410153E2" w14:textId="51EB8E32" w:rsidR="00B04659" w:rsidRDefault="00B04659" w:rsidP="00894D62">
            <w:r>
              <w:t>2</w:t>
            </w:r>
          </w:p>
        </w:tc>
        <w:tc>
          <w:tcPr>
            <w:tcW w:w="369" w:type="pct"/>
          </w:tcPr>
          <w:p w14:paraId="332D92DD" w14:textId="78E952AF" w:rsidR="00B04659" w:rsidRDefault="00AA42ED" w:rsidP="00894D62">
            <w:r>
              <w:t>2</w:t>
            </w:r>
          </w:p>
        </w:tc>
        <w:tc>
          <w:tcPr>
            <w:tcW w:w="400" w:type="pct"/>
          </w:tcPr>
          <w:p w14:paraId="4600C7F0" w14:textId="2A15F9E3" w:rsidR="00B04659" w:rsidRDefault="00AA42ED" w:rsidP="00894D62">
            <w:r>
              <w:t>1</w:t>
            </w:r>
          </w:p>
        </w:tc>
        <w:tc>
          <w:tcPr>
            <w:tcW w:w="385" w:type="pct"/>
          </w:tcPr>
          <w:p w14:paraId="783F142A" w14:textId="7A14B56B" w:rsidR="00B04659" w:rsidRDefault="00AA42ED" w:rsidP="00894D62">
            <w:r>
              <w:t>10</w:t>
            </w:r>
          </w:p>
        </w:tc>
        <w:tc>
          <w:tcPr>
            <w:tcW w:w="385" w:type="pct"/>
          </w:tcPr>
          <w:p w14:paraId="67ECE750" w14:textId="748FB8BB" w:rsidR="00B04659" w:rsidRDefault="00AA42ED" w:rsidP="00894D62">
            <w:r>
              <w:t>12</w:t>
            </w:r>
          </w:p>
        </w:tc>
        <w:tc>
          <w:tcPr>
            <w:tcW w:w="384" w:type="pct"/>
          </w:tcPr>
          <w:p w14:paraId="2ED1FA78" w14:textId="48AECFD3" w:rsidR="00B04659" w:rsidRDefault="00AA42ED" w:rsidP="00894D62">
            <w:r>
              <w:t>1</w:t>
            </w:r>
          </w:p>
        </w:tc>
        <w:tc>
          <w:tcPr>
            <w:tcW w:w="440" w:type="pct"/>
          </w:tcPr>
          <w:p w14:paraId="16F7CB6F" w14:textId="7567AF16" w:rsidR="00B04659" w:rsidRDefault="00AA42ED" w:rsidP="00894D62">
            <w:r>
              <w:t>3</w:t>
            </w:r>
          </w:p>
        </w:tc>
        <w:tc>
          <w:tcPr>
            <w:tcW w:w="384" w:type="pct"/>
          </w:tcPr>
          <w:p w14:paraId="0882379E" w14:textId="25B4CC3D" w:rsidR="00B04659" w:rsidRDefault="00AA42ED" w:rsidP="00894D62">
            <w:r>
              <w:t>1</w:t>
            </w:r>
          </w:p>
        </w:tc>
        <w:tc>
          <w:tcPr>
            <w:tcW w:w="385" w:type="pct"/>
          </w:tcPr>
          <w:p w14:paraId="3D1158A2" w14:textId="240C138F" w:rsidR="00B04659" w:rsidRDefault="00AA42ED" w:rsidP="00894D62">
            <w:r>
              <w:t>0</w:t>
            </w:r>
          </w:p>
        </w:tc>
        <w:tc>
          <w:tcPr>
            <w:tcW w:w="384" w:type="pct"/>
          </w:tcPr>
          <w:p w14:paraId="13DD4410" w14:textId="7AE0170D" w:rsidR="00B04659" w:rsidRPr="00AA42ED" w:rsidRDefault="00894D62" w:rsidP="00894D62">
            <w:pPr>
              <w:rPr>
                <w:b/>
                <w:bCs/>
              </w:rPr>
            </w:pPr>
            <w:r w:rsidRPr="00AA42ED">
              <w:rPr>
                <w:b/>
                <w:bCs/>
              </w:rPr>
              <w:t>32</w:t>
            </w:r>
          </w:p>
        </w:tc>
      </w:tr>
    </w:tbl>
    <w:p w14:paraId="578374EA" w14:textId="77777777" w:rsidR="00B04659" w:rsidRDefault="00B04659"/>
    <w:p w14:paraId="5CB2D81B" w14:textId="77777777" w:rsidR="00DD3C3B" w:rsidRDefault="00EE2DF5">
      <w:pPr>
        <w:pStyle w:val="Heading3"/>
      </w:pPr>
      <w:bookmarkStart w:id="9" w:name="Title_Student_Demographics"/>
      <w:bookmarkStart w:id="10" w:name="_75a8tgibu5zm" w:colFirst="0" w:colLast="0"/>
      <w:bookmarkEnd w:id="9"/>
      <w:bookmarkEnd w:id="10"/>
      <w:r>
        <w:t>Staff demographics</w:t>
      </w:r>
    </w:p>
    <w:p w14:paraId="541972B4" w14:textId="77777777" w:rsidR="00DD3C3B" w:rsidRDefault="00EE2DF5">
      <w:r>
        <w:t>IESBVI = 75 full-time employees</w:t>
      </w:r>
    </w:p>
    <w:p w14:paraId="4006DD7D" w14:textId="59185A40" w:rsidR="00DD3C3B" w:rsidRDefault="00613926">
      <w:pPr>
        <w:pStyle w:val="Heading3"/>
      </w:pPr>
      <w:bookmarkStart w:id="11" w:name="_ccmvwm8znwrn" w:colFirst="0" w:colLast="0"/>
      <w:bookmarkEnd w:id="11"/>
      <w:r>
        <w:t>History</w:t>
      </w:r>
    </w:p>
    <w:p w14:paraId="5C03F3E8" w14:textId="77777777" w:rsidR="00DD3C3B" w:rsidRDefault="00DD3C3B"/>
    <w:p w14:paraId="18B6CD63" w14:textId="0BEF57CE" w:rsidR="007A64CB" w:rsidRDefault="007A64CB">
      <w:r>
        <w:t xml:space="preserve">Established in 1852 in Keokuk, Iowa, the school for the </w:t>
      </w:r>
      <w:r w:rsidR="00D138B0">
        <w:t>B</w:t>
      </w:r>
      <w:r>
        <w:t>lind holds the distinction of being Iowa's second oldest educational institution. Relocated to Iowa City in 1853, it received a generous land donation in Vinton, Iowa, in 1858, leading to the establishment of the Iowa College for the Blind's campus in 1862. Over the years, it underwent various name changes, including Iowa Asylum for the Blind, Institute for the Instruction of the Blind, Iowa College for the Blind, and Iowa School for the Blind, adopting the name Iowa Braille and Sight Saving School in 1951. In August 2010, a legislative study committee changed the name to "Iowa Educational Services for the Blind and Visually Impaired" (IESBVI). Since the change, IESBVI has continued to provide support and instruction for visually impaired students statewide.</w:t>
      </w:r>
    </w:p>
    <w:p w14:paraId="0739BC3A" w14:textId="77777777" w:rsidR="00DD0DCA" w:rsidRDefault="00DD0DCA"/>
    <w:p w14:paraId="2954E517" w14:textId="7B4B7A3E" w:rsidR="00DD0DCA" w:rsidRDefault="00DD0DCA" w:rsidP="00DD0DCA">
      <w:pPr>
        <w:pStyle w:val="Heading2"/>
      </w:pPr>
      <w:r>
        <w:t>Programs and Services</w:t>
      </w:r>
    </w:p>
    <w:p w14:paraId="38E56020" w14:textId="77777777" w:rsidR="00DD0DCA" w:rsidRDefault="00DD0DCA" w:rsidP="00DD0DCA">
      <w:pPr>
        <w:numPr>
          <w:ilvl w:val="0"/>
          <w:numId w:val="4"/>
        </w:numPr>
        <w:shd w:val="clear" w:color="auto" w:fill="FFFFFF"/>
        <w:spacing w:line="312" w:lineRule="auto"/>
      </w:pPr>
      <w:r>
        <w:t>Itinerant Educators &amp; Mobility Specialists</w:t>
      </w:r>
    </w:p>
    <w:p w14:paraId="52A56B03" w14:textId="77777777" w:rsidR="00DD0DCA" w:rsidRDefault="00DD0DCA" w:rsidP="00DD0DCA">
      <w:pPr>
        <w:numPr>
          <w:ilvl w:val="1"/>
          <w:numId w:val="4"/>
        </w:numPr>
        <w:shd w:val="clear" w:color="auto" w:fill="FFFFFF"/>
        <w:spacing w:line="312" w:lineRule="auto"/>
      </w:pPr>
      <w:r>
        <w:t xml:space="preserve">Teachers of the Visually Impaired (TVI) and Orientation &amp; Mobility Specialists (OMS) assist students who are blind and visually impaired, ages birth to 21 years old, who demonstrate a need for special education services. Assistance from these professionals comes in the form of specially designed instruction and recommended accommodations and modifications for those whose visual impairments are affecting their education. IESBVI’s service model is an itinerant </w:t>
      </w:r>
      <w:r>
        <w:lastRenderedPageBreak/>
        <w:t xml:space="preserve">model in which </w:t>
      </w:r>
      <w:proofErr w:type="gramStart"/>
      <w:r>
        <w:t>TVIs</w:t>
      </w:r>
      <w:proofErr w:type="gramEnd"/>
      <w:r>
        <w:t xml:space="preserve"> and OMS travel to students’ local school buildings to provide services.</w:t>
      </w:r>
    </w:p>
    <w:p w14:paraId="2F07458E" w14:textId="77777777" w:rsidR="00DD0DCA" w:rsidRDefault="00DD0DCA" w:rsidP="00DD0DCA">
      <w:pPr>
        <w:numPr>
          <w:ilvl w:val="0"/>
          <w:numId w:val="4"/>
        </w:numPr>
        <w:shd w:val="clear" w:color="auto" w:fill="FFFFFF"/>
        <w:spacing w:line="312" w:lineRule="auto"/>
      </w:pPr>
      <w:r>
        <w:t>Statewide Consultants</w:t>
      </w:r>
    </w:p>
    <w:p w14:paraId="45042EE7" w14:textId="77777777" w:rsidR="00DD0DCA" w:rsidRDefault="00DD0DCA" w:rsidP="00DD0DCA">
      <w:pPr>
        <w:numPr>
          <w:ilvl w:val="1"/>
          <w:numId w:val="4"/>
        </w:numPr>
        <w:shd w:val="clear" w:color="auto" w:fill="FFFFFF"/>
        <w:spacing w:line="312" w:lineRule="auto"/>
      </w:pPr>
      <w:r>
        <w:t xml:space="preserve">IESBVI offers additional services in the form of statewide, content-specific consultants. IESBVI Consultants are available to support students, </w:t>
      </w:r>
      <w:proofErr w:type="gramStart"/>
      <w:r>
        <w:t>parents</w:t>
      </w:r>
      <w:proofErr w:type="gramEnd"/>
      <w:r>
        <w:t xml:space="preserve"> and educational professionals in the state of Iowa.</w:t>
      </w:r>
    </w:p>
    <w:p w14:paraId="4C883759" w14:textId="77777777" w:rsidR="00DD0DCA" w:rsidRDefault="00DD0DCA" w:rsidP="00DD0DCA">
      <w:pPr>
        <w:numPr>
          <w:ilvl w:val="0"/>
          <w:numId w:val="4"/>
        </w:numPr>
        <w:shd w:val="clear" w:color="auto" w:fill="FFFFFF"/>
        <w:spacing w:line="312" w:lineRule="auto"/>
      </w:pPr>
      <w:r>
        <w:t>Post-Secondary Transition</w:t>
      </w:r>
    </w:p>
    <w:p w14:paraId="20C02C99" w14:textId="77777777" w:rsidR="00DD0DCA" w:rsidRDefault="00DD0DCA" w:rsidP="00DD0DCA">
      <w:pPr>
        <w:numPr>
          <w:ilvl w:val="1"/>
          <w:numId w:val="4"/>
        </w:numPr>
        <w:shd w:val="clear" w:color="auto" w:fill="FFFFFF"/>
        <w:spacing w:line="312" w:lineRule="auto"/>
      </w:pPr>
      <w:r>
        <w:t xml:space="preserve">Successful transition from school to adult life requires assessment and instruction in all areas of the expanded core curriculum, as well as an understanding of the intended post-secondary outcome for the student’s future. The transition process begins, at the latest, at the IEP when the student is age 14.  Collaboration between the student, family, team of educators and future partners in targeted areas of living, </w:t>
      </w:r>
      <w:proofErr w:type="gramStart"/>
      <w:r>
        <w:t>working</w:t>
      </w:r>
      <w:proofErr w:type="gramEnd"/>
      <w:r>
        <w:t xml:space="preserve"> and learning can set students up for future success.</w:t>
      </w:r>
    </w:p>
    <w:p w14:paraId="077BA634" w14:textId="77777777" w:rsidR="00DD0DCA" w:rsidRDefault="00DD0DCA" w:rsidP="00DD0DCA">
      <w:pPr>
        <w:numPr>
          <w:ilvl w:val="0"/>
          <w:numId w:val="4"/>
        </w:numPr>
        <w:shd w:val="clear" w:color="auto" w:fill="FFFFFF"/>
        <w:spacing w:line="312" w:lineRule="auto"/>
      </w:pPr>
      <w:r>
        <w:t>Assistive Technology</w:t>
      </w:r>
    </w:p>
    <w:p w14:paraId="2DA3CA58" w14:textId="77777777" w:rsidR="00DD0DCA" w:rsidRDefault="00DD0DCA" w:rsidP="00DD0DCA">
      <w:pPr>
        <w:numPr>
          <w:ilvl w:val="1"/>
          <w:numId w:val="4"/>
        </w:numPr>
        <w:shd w:val="clear" w:color="auto" w:fill="FFFFFF"/>
        <w:spacing w:line="312" w:lineRule="auto"/>
      </w:pPr>
      <w:r>
        <w:t xml:space="preserve">Students with visual impairments may require assistive technology devices or software to access and participate in the general education environment. Assistive technologies </w:t>
      </w:r>
      <w:proofErr w:type="gramStart"/>
      <w:r>
        <w:t>include:</w:t>
      </w:r>
      <w:proofErr w:type="gramEnd"/>
      <w:r>
        <w:t xml:space="preserve"> braille notetakers, screen reading software, tablets, talking book players, low vision devices, magnifiers, and closed-circuit television (CCTV).</w:t>
      </w:r>
    </w:p>
    <w:p w14:paraId="7F96674F" w14:textId="77777777" w:rsidR="00DD0DCA" w:rsidRDefault="00DD0DCA" w:rsidP="00DD0DCA">
      <w:pPr>
        <w:numPr>
          <w:ilvl w:val="0"/>
          <w:numId w:val="4"/>
        </w:numPr>
        <w:shd w:val="clear" w:color="auto" w:fill="FFFFFF"/>
        <w:spacing w:line="312" w:lineRule="auto"/>
      </w:pPr>
      <w:r>
        <w:t>Activities, Camps, and Sports</w:t>
      </w:r>
    </w:p>
    <w:p w14:paraId="48063DA1" w14:textId="77777777" w:rsidR="00DD0DCA" w:rsidRDefault="00DD0DCA" w:rsidP="00DD0DCA">
      <w:pPr>
        <w:numPr>
          <w:ilvl w:val="1"/>
          <w:numId w:val="4"/>
        </w:numPr>
        <w:shd w:val="clear" w:color="auto" w:fill="FFFFFF"/>
        <w:spacing w:line="312" w:lineRule="auto"/>
      </w:pPr>
      <w:r>
        <w:t xml:space="preserve">Iowa Educational Services for the Blind &amp; Visually Impaired offers a variety of extra-curricular opportunities through Expanded Learning Programs (ELPs). All opportunities help support student achievement in the areas of the Expanded Core Curriculum (ECC). ELPs include summer camps, weekend retreats, sports teams and much more. </w:t>
      </w:r>
    </w:p>
    <w:p w14:paraId="3300B812" w14:textId="77777777" w:rsidR="00C729B0" w:rsidRDefault="00DD0DCA" w:rsidP="00C729B0">
      <w:pPr>
        <w:numPr>
          <w:ilvl w:val="0"/>
          <w:numId w:val="4"/>
        </w:numPr>
        <w:shd w:val="clear" w:color="auto" w:fill="FFFFFF"/>
        <w:spacing w:line="312" w:lineRule="auto"/>
      </w:pPr>
      <w:r>
        <w:t>4PLUS Transition Program</w:t>
      </w:r>
    </w:p>
    <w:p w14:paraId="2423A126" w14:textId="740305C1" w:rsidR="00C729B0" w:rsidRPr="00C729B0" w:rsidRDefault="00C729B0" w:rsidP="00C729B0">
      <w:pPr>
        <w:numPr>
          <w:ilvl w:val="1"/>
          <w:numId w:val="4"/>
        </w:numPr>
        <w:shd w:val="clear" w:color="auto" w:fill="FFFFFF"/>
        <w:spacing w:line="312" w:lineRule="auto"/>
      </w:pPr>
      <w:r w:rsidRPr="00C729B0">
        <w:rPr>
          <w:bCs/>
          <w:lang w:val="en-US"/>
        </w:rPr>
        <w:t xml:space="preserve">The 4PLUS (Post-senior Learning for Ultimate </w:t>
      </w:r>
      <w:proofErr w:type="gramStart"/>
      <w:r w:rsidRPr="00C729B0">
        <w:rPr>
          <w:bCs/>
          <w:lang w:val="en-US"/>
        </w:rPr>
        <w:t>Success)Transition</w:t>
      </w:r>
      <w:proofErr w:type="gramEnd"/>
      <w:r w:rsidRPr="00C729B0">
        <w:rPr>
          <w:bCs/>
          <w:lang w:val="en-US"/>
        </w:rPr>
        <w:t xml:space="preserve"> Program is a residential, education-based transition program exclusively for Iowa’s post-high school seniors who are blind or visually impaired. The program is for students who </w:t>
      </w:r>
      <w:proofErr w:type="gramStart"/>
      <w:r w:rsidRPr="00C729B0">
        <w:rPr>
          <w:bCs/>
          <w:lang w:val="en-US"/>
        </w:rPr>
        <w:t>are in need of</w:t>
      </w:r>
      <w:proofErr w:type="gramEnd"/>
      <w:r w:rsidRPr="00C729B0">
        <w:rPr>
          <w:bCs/>
          <w:lang w:val="en-US"/>
        </w:rPr>
        <w:t xml:space="preserve"> additional transition services in the areas of living, learning and working prior to completing their formal K-12 education.</w:t>
      </w:r>
    </w:p>
    <w:p w14:paraId="2D336FCD" w14:textId="77777777" w:rsidR="00DD0DCA" w:rsidRDefault="00DD0DCA"/>
    <w:p w14:paraId="1EB10066" w14:textId="77777777" w:rsidR="00DD3C3B" w:rsidRDefault="00EE2DF5">
      <w:pPr>
        <w:pStyle w:val="Heading2"/>
      </w:pPr>
      <w:bookmarkStart w:id="12" w:name="_krc9r38umuw1" w:colFirst="0" w:colLast="0"/>
      <w:bookmarkEnd w:id="12"/>
      <w:r>
        <w:t>Iowa School for the Deaf (ISD)</w:t>
      </w:r>
    </w:p>
    <w:p w14:paraId="0768F8DD" w14:textId="3867FA88" w:rsidR="00DD3C3B" w:rsidRDefault="00EE2DF5">
      <w:r>
        <w:t>At Iowa School for the Deaf, children thrive through communication, opportunity, independence, and a sense of belonging. Individualized attention through specialized staff ensures academic and social success, regardless of hearing level or communication preference.</w:t>
      </w:r>
    </w:p>
    <w:p w14:paraId="1FB0F704" w14:textId="77777777" w:rsidR="00DD3C3B" w:rsidRDefault="00EE2DF5">
      <w:pPr>
        <w:pStyle w:val="Heading3"/>
      </w:pPr>
      <w:bookmarkStart w:id="13" w:name="_6essc3g2wae" w:colFirst="0" w:colLast="0"/>
      <w:bookmarkEnd w:id="13"/>
      <w:r>
        <w:lastRenderedPageBreak/>
        <w:t>Mission</w:t>
      </w:r>
    </w:p>
    <w:p w14:paraId="63011052" w14:textId="77777777" w:rsidR="00DD3C3B" w:rsidRDefault="00EE2DF5">
      <w:r>
        <w:t>Iowa School for the Deaf prepares deaf or hard-of-hearing students from preschool through age 21 for life as literate citizens who contribute to society.</w:t>
      </w:r>
    </w:p>
    <w:p w14:paraId="3ADBF8A6" w14:textId="77777777" w:rsidR="00DD3C3B" w:rsidRDefault="00DD3C3B"/>
    <w:p w14:paraId="23DED07F" w14:textId="77777777" w:rsidR="00DD3C3B" w:rsidRDefault="00EE2DF5">
      <w:pPr>
        <w:pStyle w:val="Heading3"/>
      </w:pPr>
      <w:bookmarkStart w:id="14" w:name="_kfh4hlc1aozf" w:colFirst="0" w:colLast="0"/>
      <w:bookmarkEnd w:id="14"/>
      <w:r>
        <w:t>Vision</w:t>
      </w:r>
    </w:p>
    <w:p w14:paraId="35F169F6" w14:textId="77777777" w:rsidR="00DD3C3B" w:rsidRDefault="00EE2DF5">
      <w:r>
        <w:t>Iowa School for the Deaf is the statewide resource that provides education and outreach services optimized for students who are deaf or hard of hearing to prepare for adult life.</w:t>
      </w:r>
    </w:p>
    <w:p w14:paraId="45A459DD" w14:textId="77777777" w:rsidR="00DD3C3B" w:rsidRDefault="00EE2DF5">
      <w:pPr>
        <w:pStyle w:val="Heading3"/>
      </w:pPr>
      <w:bookmarkStart w:id="15" w:name="_s6fzrramogup" w:colFirst="0" w:colLast="0"/>
      <w:bookmarkEnd w:id="15"/>
      <w:r>
        <w:t>Goals</w:t>
      </w:r>
    </w:p>
    <w:p w14:paraId="4D183FC9" w14:textId="77777777" w:rsidR="00DD3C3B" w:rsidRDefault="00EE2DF5">
      <w:pPr>
        <w:numPr>
          <w:ilvl w:val="0"/>
          <w:numId w:val="3"/>
        </w:numPr>
      </w:pPr>
      <w:r>
        <w:t>Administration</w:t>
      </w:r>
    </w:p>
    <w:p w14:paraId="3653ED51" w14:textId="77777777" w:rsidR="00DD3C3B" w:rsidRDefault="00EE2DF5">
      <w:pPr>
        <w:numPr>
          <w:ilvl w:val="1"/>
          <w:numId w:val="3"/>
        </w:numPr>
      </w:pPr>
      <w:r>
        <w:t xml:space="preserve">Improve agency effectiveness by ensuring relevance of programs and </w:t>
      </w:r>
      <w:proofErr w:type="gramStart"/>
      <w:r>
        <w:t>services</w:t>
      </w:r>
      <w:proofErr w:type="gramEnd"/>
    </w:p>
    <w:p w14:paraId="4CC41A76" w14:textId="77777777" w:rsidR="00DD3C3B" w:rsidRDefault="00EE2DF5">
      <w:pPr>
        <w:numPr>
          <w:ilvl w:val="1"/>
          <w:numId w:val="3"/>
        </w:numPr>
      </w:pPr>
      <w:r>
        <w:t>Ensure both internal and external stakeholders are informed about agency progress to achieve strategic goals.</w:t>
      </w:r>
    </w:p>
    <w:p w14:paraId="1A37F923" w14:textId="77777777" w:rsidR="00DD3C3B" w:rsidRDefault="00EE2DF5">
      <w:pPr>
        <w:numPr>
          <w:ilvl w:val="0"/>
          <w:numId w:val="3"/>
        </w:numPr>
      </w:pPr>
      <w:r>
        <w:t>Student Life</w:t>
      </w:r>
    </w:p>
    <w:p w14:paraId="705D6624" w14:textId="77777777" w:rsidR="00DD3C3B" w:rsidRDefault="00EE2DF5">
      <w:pPr>
        <w:numPr>
          <w:ilvl w:val="1"/>
          <w:numId w:val="3"/>
        </w:numPr>
      </w:pPr>
      <w:r>
        <w:t>Develop and implement opportunities for personal and professional development for staff and training and support for students and families to address the social-emotional needs of our students.</w:t>
      </w:r>
    </w:p>
    <w:p w14:paraId="4A245648" w14:textId="77777777" w:rsidR="00DD3C3B" w:rsidRDefault="00EE2DF5">
      <w:pPr>
        <w:numPr>
          <w:ilvl w:val="0"/>
          <w:numId w:val="3"/>
        </w:numPr>
      </w:pPr>
      <w:r>
        <w:t>Academic Program</w:t>
      </w:r>
    </w:p>
    <w:p w14:paraId="6F0EF4E0" w14:textId="77777777" w:rsidR="00DD3C3B" w:rsidRDefault="00EE2DF5">
      <w:pPr>
        <w:numPr>
          <w:ilvl w:val="1"/>
          <w:numId w:val="3"/>
        </w:numPr>
      </w:pPr>
      <w:r>
        <w:t xml:space="preserve">Improve the level of academic and social/emotional supports we provide to ISD </w:t>
      </w:r>
      <w:proofErr w:type="gramStart"/>
      <w:r>
        <w:t>students</w:t>
      </w:r>
      <w:proofErr w:type="gramEnd"/>
    </w:p>
    <w:p w14:paraId="2AEE7D8A" w14:textId="77777777" w:rsidR="00DD3C3B" w:rsidRDefault="00EE2DF5">
      <w:pPr>
        <w:pStyle w:val="Heading3"/>
      </w:pPr>
      <w:bookmarkStart w:id="16" w:name="_uabayfi8puos" w:colFirst="0" w:colLast="0"/>
      <w:bookmarkEnd w:id="16"/>
      <w:r>
        <w:t xml:space="preserve">Core </w:t>
      </w:r>
      <w:proofErr w:type="gramStart"/>
      <w:r>
        <w:t>values</w:t>
      </w:r>
      <w:proofErr w:type="gramEnd"/>
    </w:p>
    <w:p w14:paraId="1A52D0AE" w14:textId="77777777" w:rsidR="00DD3C3B" w:rsidRDefault="00EE2DF5">
      <w:pPr>
        <w:widowControl w:val="0"/>
        <w:numPr>
          <w:ilvl w:val="0"/>
          <w:numId w:val="1"/>
        </w:numPr>
        <w:tabs>
          <w:tab w:val="left" w:pos="939"/>
          <w:tab w:val="left" w:pos="940"/>
        </w:tabs>
        <w:spacing w:line="240" w:lineRule="auto"/>
      </w:pPr>
      <w:r>
        <w:rPr>
          <w:rFonts w:ascii="Calibri" w:eastAsia="Calibri" w:hAnsi="Calibri" w:cs="Calibri"/>
        </w:rPr>
        <w:t xml:space="preserve">Program quality and communication </w:t>
      </w:r>
      <w:proofErr w:type="gramStart"/>
      <w:r>
        <w:rPr>
          <w:rFonts w:ascii="Calibri" w:eastAsia="Calibri" w:hAnsi="Calibri" w:cs="Calibri"/>
        </w:rPr>
        <w:t>access</w:t>
      </w:r>
      <w:proofErr w:type="gramEnd"/>
    </w:p>
    <w:p w14:paraId="761C69DE" w14:textId="77777777" w:rsidR="00DD3C3B" w:rsidRDefault="00EE2DF5">
      <w:pPr>
        <w:widowControl w:val="0"/>
        <w:numPr>
          <w:ilvl w:val="0"/>
          <w:numId w:val="1"/>
        </w:numPr>
        <w:tabs>
          <w:tab w:val="left" w:pos="939"/>
          <w:tab w:val="left" w:pos="940"/>
        </w:tabs>
        <w:spacing w:before="22" w:line="240" w:lineRule="auto"/>
      </w:pPr>
      <w:r>
        <w:rPr>
          <w:rFonts w:ascii="Calibri" w:eastAsia="Calibri" w:hAnsi="Calibri" w:cs="Calibri"/>
        </w:rPr>
        <w:t>Collaboration with colleagues and constituent groups</w:t>
      </w:r>
    </w:p>
    <w:p w14:paraId="3B164E81" w14:textId="77777777" w:rsidR="00DD3C3B" w:rsidRDefault="00EE2DF5">
      <w:pPr>
        <w:widowControl w:val="0"/>
        <w:numPr>
          <w:ilvl w:val="0"/>
          <w:numId w:val="1"/>
        </w:numPr>
        <w:tabs>
          <w:tab w:val="left" w:pos="939"/>
          <w:tab w:val="left" w:pos="940"/>
        </w:tabs>
        <w:spacing w:before="18" w:line="240" w:lineRule="auto"/>
      </w:pPr>
      <w:r>
        <w:rPr>
          <w:rFonts w:ascii="Calibri" w:eastAsia="Calibri" w:hAnsi="Calibri" w:cs="Calibri"/>
        </w:rPr>
        <w:t>Civility, honesty, integrity, and fairness</w:t>
      </w:r>
    </w:p>
    <w:p w14:paraId="61CE7112" w14:textId="77777777" w:rsidR="00DD3C3B" w:rsidRDefault="00EE2DF5">
      <w:pPr>
        <w:widowControl w:val="0"/>
        <w:numPr>
          <w:ilvl w:val="0"/>
          <w:numId w:val="1"/>
        </w:numPr>
        <w:tabs>
          <w:tab w:val="left" w:pos="939"/>
          <w:tab w:val="left" w:pos="940"/>
        </w:tabs>
        <w:spacing w:before="17" w:line="240" w:lineRule="auto"/>
      </w:pPr>
      <w:r>
        <w:rPr>
          <w:rFonts w:ascii="Calibri" w:eastAsia="Calibri" w:hAnsi="Calibri" w:cs="Calibri"/>
        </w:rPr>
        <w:t>Diversity among faculty, staff, and students</w:t>
      </w:r>
    </w:p>
    <w:p w14:paraId="47D4A0F2" w14:textId="77777777" w:rsidR="00DD3C3B" w:rsidRDefault="00EE2DF5">
      <w:pPr>
        <w:widowControl w:val="0"/>
        <w:numPr>
          <w:ilvl w:val="0"/>
          <w:numId w:val="1"/>
        </w:numPr>
        <w:tabs>
          <w:tab w:val="left" w:pos="939"/>
          <w:tab w:val="left" w:pos="940"/>
        </w:tabs>
        <w:spacing w:before="23" w:line="240" w:lineRule="auto"/>
      </w:pPr>
      <w:r>
        <w:rPr>
          <w:rFonts w:ascii="Calibri" w:eastAsia="Calibri" w:hAnsi="Calibri" w:cs="Calibri"/>
        </w:rPr>
        <w:t>Ethical behavior</w:t>
      </w:r>
    </w:p>
    <w:p w14:paraId="432F42D9" w14:textId="77777777" w:rsidR="00DD3C3B" w:rsidRDefault="00EE2DF5">
      <w:pPr>
        <w:widowControl w:val="0"/>
        <w:numPr>
          <w:ilvl w:val="0"/>
          <w:numId w:val="1"/>
        </w:numPr>
        <w:tabs>
          <w:tab w:val="left" w:pos="939"/>
          <w:tab w:val="left" w:pos="940"/>
        </w:tabs>
        <w:spacing w:before="17" w:line="240" w:lineRule="auto"/>
      </w:pPr>
      <w:r>
        <w:rPr>
          <w:rFonts w:ascii="Calibri" w:eastAsia="Calibri" w:hAnsi="Calibri" w:cs="Calibri"/>
        </w:rPr>
        <w:t>Open, effective communication</w:t>
      </w:r>
    </w:p>
    <w:p w14:paraId="07245DFF" w14:textId="77777777" w:rsidR="00DD3C3B" w:rsidRDefault="00EE2DF5">
      <w:pPr>
        <w:widowControl w:val="0"/>
        <w:numPr>
          <w:ilvl w:val="0"/>
          <w:numId w:val="1"/>
        </w:numPr>
        <w:tabs>
          <w:tab w:val="left" w:pos="939"/>
          <w:tab w:val="left" w:pos="940"/>
        </w:tabs>
        <w:spacing w:before="23" w:line="240" w:lineRule="auto"/>
      </w:pPr>
      <w:r>
        <w:rPr>
          <w:rFonts w:ascii="Calibri" w:eastAsia="Calibri" w:hAnsi="Calibri" w:cs="Calibri"/>
        </w:rPr>
        <w:t>Public accountability, stewardship, and service</w:t>
      </w:r>
    </w:p>
    <w:p w14:paraId="1936A6FA" w14:textId="77777777" w:rsidR="00DD3C3B" w:rsidRDefault="00EE2DF5">
      <w:pPr>
        <w:widowControl w:val="0"/>
        <w:numPr>
          <w:ilvl w:val="0"/>
          <w:numId w:val="1"/>
        </w:numPr>
        <w:tabs>
          <w:tab w:val="left" w:pos="939"/>
          <w:tab w:val="left" w:pos="940"/>
        </w:tabs>
        <w:spacing w:before="17" w:line="240" w:lineRule="auto"/>
      </w:pPr>
      <w:r>
        <w:rPr>
          <w:rFonts w:ascii="Calibri" w:eastAsia="Calibri" w:hAnsi="Calibri" w:cs="Calibri"/>
        </w:rPr>
        <w:t>Optimal personal development and achievement</w:t>
      </w:r>
    </w:p>
    <w:p w14:paraId="6F17955A" w14:textId="77777777" w:rsidR="00DD3C3B" w:rsidRDefault="00EE2DF5">
      <w:pPr>
        <w:pStyle w:val="Heading3"/>
      </w:pPr>
      <w:bookmarkStart w:id="17" w:name="_1x017iooeaye" w:colFirst="0" w:colLast="0"/>
      <w:bookmarkEnd w:id="17"/>
      <w:r>
        <w:t>Guiding principles</w:t>
      </w:r>
    </w:p>
    <w:p w14:paraId="76C9A251" w14:textId="77777777" w:rsidR="00DD3C3B" w:rsidRDefault="00EE2DF5">
      <w:pPr>
        <w:widowControl w:val="0"/>
        <w:numPr>
          <w:ilvl w:val="0"/>
          <w:numId w:val="5"/>
        </w:numPr>
        <w:tabs>
          <w:tab w:val="left" w:pos="939"/>
          <w:tab w:val="left" w:pos="940"/>
        </w:tabs>
        <w:spacing w:line="246" w:lineRule="auto"/>
        <w:ind w:right="291"/>
      </w:pPr>
      <w:r>
        <w:rPr>
          <w:rFonts w:ascii="Calibri" w:eastAsia="Calibri" w:hAnsi="Calibri" w:cs="Calibri"/>
        </w:rPr>
        <w:t xml:space="preserve">Passion and skills for life-long learning that serve as a role model and prepare students who    are deaf or hard of hearing to achieve their full </w:t>
      </w:r>
      <w:proofErr w:type="gramStart"/>
      <w:r>
        <w:rPr>
          <w:rFonts w:ascii="Calibri" w:eastAsia="Calibri" w:hAnsi="Calibri" w:cs="Calibri"/>
        </w:rPr>
        <w:t>potential</w:t>
      </w:r>
      <w:proofErr w:type="gramEnd"/>
    </w:p>
    <w:p w14:paraId="3064EA99" w14:textId="77777777" w:rsidR="00DD3C3B" w:rsidRDefault="00EE2DF5">
      <w:pPr>
        <w:widowControl w:val="0"/>
        <w:numPr>
          <w:ilvl w:val="0"/>
          <w:numId w:val="5"/>
        </w:numPr>
        <w:tabs>
          <w:tab w:val="left" w:pos="939"/>
          <w:tab w:val="left" w:pos="940"/>
        </w:tabs>
        <w:spacing w:before="17" w:line="246" w:lineRule="auto"/>
        <w:ind w:right="302"/>
      </w:pPr>
      <w:r>
        <w:rPr>
          <w:rFonts w:ascii="Calibri" w:eastAsia="Calibri" w:hAnsi="Calibri" w:cs="Calibri"/>
        </w:rPr>
        <w:t xml:space="preserve">Outreach, collaboration and coordination with families, other agencies and stakeholders to meet the needs of Iowa’s students who are deaf or hard of </w:t>
      </w:r>
      <w:proofErr w:type="gramStart"/>
      <w:r>
        <w:rPr>
          <w:rFonts w:ascii="Calibri" w:eastAsia="Calibri" w:hAnsi="Calibri" w:cs="Calibri"/>
        </w:rPr>
        <w:t>hearing</w:t>
      </w:r>
      <w:proofErr w:type="gramEnd"/>
    </w:p>
    <w:p w14:paraId="2A88BC16" w14:textId="77777777" w:rsidR="00DD3C3B" w:rsidRDefault="00EE2DF5">
      <w:pPr>
        <w:widowControl w:val="0"/>
        <w:numPr>
          <w:ilvl w:val="0"/>
          <w:numId w:val="5"/>
        </w:numPr>
        <w:tabs>
          <w:tab w:val="left" w:pos="939"/>
          <w:tab w:val="left" w:pos="940"/>
        </w:tabs>
        <w:spacing w:before="16" w:line="240" w:lineRule="auto"/>
      </w:pPr>
      <w:r>
        <w:rPr>
          <w:rFonts w:ascii="Calibri" w:eastAsia="Calibri" w:hAnsi="Calibri" w:cs="Calibri"/>
        </w:rPr>
        <w:t>Integrity, honesty, ethics, and civil discourse in all activities</w:t>
      </w:r>
    </w:p>
    <w:p w14:paraId="5AA45CED" w14:textId="77777777" w:rsidR="00DD3C3B" w:rsidRDefault="00EE2DF5">
      <w:pPr>
        <w:widowControl w:val="0"/>
        <w:numPr>
          <w:ilvl w:val="0"/>
          <w:numId w:val="5"/>
        </w:numPr>
        <w:tabs>
          <w:tab w:val="left" w:pos="939"/>
          <w:tab w:val="left" w:pos="940"/>
        </w:tabs>
        <w:spacing w:before="18" w:line="246" w:lineRule="auto"/>
        <w:ind w:right="480"/>
      </w:pPr>
      <w:r>
        <w:rPr>
          <w:rFonts w:ascii="Calibri" w:eastAsia="Calibri" w:hAnsi="Calibri" w:cs="Calibri"/>
        </w:rPr>
        <w:t>Respectful interaction among members of diverse backgrounds, cultures, communication modes and beliefs</w:t>
      </w:r>
    </w:p>
    <w:p w14:paraId="6E8DCE21" w14:textId="77777777" w:rsidR="00DD3C3B" w:rsidRDefault="00EE2DF5">
      <w:pPr>
        <w:widowControl w:val="0"/>
        <w:numPr>
          <w:ilvl w:val="0"/>
          <w:numId w:val="5"/>
        </w:numPr>
        <w:tabs>
          <w:tab w:val="left" w:pos="939"/>
          <w:tab w:val="left" w:pos="940"/>
        </w:tabs>
        <w:spacing w:before="17" w:line="246" w:lineRule="auto"/>
        <w:ind w:right="411"/>
      </w:pPr>
      <w:r>
        <w:rPr>
          <w:rFonts w:ascii="Calibri" w:eastAsia="Calibri" w:hAnsi="Calibri" w:cs="Calibri"/>
        </w:rPr>
        <w:t xml:space="preserve">Nurturing environments that promote critical thinking, free inquiry, open </w:t>
      </w:r>
      <w:r>
        <w:rPr>
          <w:rFonts w:ascii="Calibri" w:eastAsia="Calibri" w:hAnsi="Calibri" w:cs="Calibri"/>
        </w:rPr>
        <w:lastRenderedPageBreak/>
        <w:t>communication, and broad participation</w:t>
      </w:r>
    </w:p>
    <w:p w14:paraId="5129C69E" w14:textId="77777777" w:rsidR="00DD3C3B" w:rsidRDefault="00EE2DF5">
      <w:pPr>
        <w:widowControl w:val="0"/>
        <w:numPr>
          <w:ilvl w:val="0"/>
          <w:numId w:val="5"/>
        </w:numPr>
        <w:tabs>
          <w:tab w:val="left" w:pos="939"/>
          <w:tab w:val="left" w:pos="940"/>
        </w:tabs>
        <w:spacing w:before="16" w:line="246" w:lineRule="auto"/>
        <w:ind w:right="537"/>
      </w:pPr>
      <w:r>
        <w:rPr>
          <w:rFonts w:ascii="Calibri" w:eastAsia="Calibri" w:hAnsi="Calibri" w:cs="Calibri"/>
        </w:rPr>
        <w:t xml:space="preserve">Effective communication that informs ISD’s constituents of the role, value, and impact of the Iowa School for the Deaf for students who are deaf or hard of </w:t>
      </w:r>
      <w:proofErr w:type="gramStart"/>
      <w:r>
        <w:rPr>
          <w:rFonts w:ascii="Calibri" w:eastAsia="Calibri" w:hAnsi="Calibri" w:cs="Calibri"/>
        </w:rPr>
        <w:t>hearing</w:t>
      </w:r>
      <w:proofErr w:type="gramEnd"/>
    </w:p>
    <w:p w14:paraId="4AB57430" w14:textId="77777777" w:rsidR="00DD3C3B" w:rsidRDefault="00EE2DF5">
      <w:pPr>
        <w:widowControl w:val="0"/>
        <w:numPr>
          <w:ilvl w:val="0"/>
          <w:numId w:val="5"/>
        </w:numPr>
        <w:tabs>
          <w:tab w:val="left" w:pos="939"/>
          <w:tab w:val="left" w:pos="940"/>
        </w:tabs>
        <w:spacing w:before="12" w:line="254" w:lineRule="auto"/>
        <w:ind w:right="991"/>
      </w:pPr>
      <w:r>
        <w:rPr>
          <w:rFonts w:ascii="Calibri" w:eastAsia="Calibri" w:hAnsi="Calibri" w:cs="Calibri"/>
        </w:rPr>
        <w:t xml:space="preserve">Effective, accountable service to the public through strategic planning and program implementation for Iowa’s students who are deaf or hard of </w:t>
      </w:r>
      <w:proofErr w:type="gramStart"/>
      <w:r>
        <w:rPr>
          <w:rFonts w:ascii="Calibri" w:eastAsia="Calibri" w:hAnsi="Calibri" w:cs="Calibri"/>
        </w:rPr>
        <w:t>hearing</w:t>
      </w:r>
      <w:proofErr w:type="gramEnd"/>
    </w:p>
    <w:p w14:paraId="2E3738A5" w14:textId="77777777" w:rsidR="00DD3C3B" w:rsidRDefault="00EE2DF5">
      <w:pPr>
        <w:widowControl w:val="0"/>
        <w:numPr>
          <w:ilvl w:val="0"/>
          <w:numId w:val="5"/>
        </w:numPr>
        <w:tabs>
          <w:tab w:val="left" w:pos="939"/>
          <w:tab w:val="left" w:pos="940"/>
        </w:tabs>
        <w:spacing w:before="3" w:line="240" w:lineRule="auto"/>
      </w:pPr>
      <w:r>
        <w:rPr>
          <w:rFonts w:ascii="Calibri" w:eastAsia="Calibri" w:hAnsi="Calibri" w:cs="Calibri"/>
        </w:rPr>
        <w:t>Effective stewardship of resources</w:t>
      </w:r>
    </w:p>
    <w:p w14:paraId="1784D84D" w14:textId="77777777" w:rsidR="00DD3C3B" w:rsidRDefault="00EE2DF5">
      <w:pPr>
        <w:widowControl w:val="0"/>
        <w:numPr>
          <w:ilvl w:val="0"/>
          <w:numId w:val="5"/>
        </w:numPr>
        <w:tabs>
          <w:tab w:val="left" w:pos="939"/>
          <w:tab w:val="left" w:pos="940"/>
        </w:tabs>
        <w:spacing w:before="22" w:line="240" w:lineRule="auto"/>
      </w:pPr>
      <w:r>
        <w:rPr>
          <w:rFonts w:ascii="Calibri" w:eastAsia="Calibri" w:hAnsi="Calibri" w:cs="Calibri"/>
        </w:rPr>
        <w:t>Recruitment, retention, and development of outstanding faculty and staff</w:t>
      </w:r>
    </w:p>
    <w:p w14:paraId="5E6ACAF4" w14:textId="77777777" w:rsidR="00DD3C3B" w:rsidRDefault="00DD3C3B"/>
    <w:p w14:paraId="41F8C955" w14:textId="392E20F8" w:rsidR="00DD3C3B" w:rsidRDefault="00613926">
      <w:pPr>
        <w:pStyle w:val="Heading3"/>
      </w:pPr>
      <w:bookmarkStart w:id="18" w:name="_955ue5m2fkw9" w:colFirst="0" w:colLast="0"/>
      <w:bookmarkEnd w:id="18"/>
      <w:r>
        <w:t>ISD 2024 Student Demographics</w:t>
      </w:r>
    </w:p>
    <w:p w14:paraId="7407C23E" w14:textId="77777777" w:rsidR="00AA42ED" w:rsidRDefault="00AA42ED" w:rsidP="00AA42ED"/>
    <w:p w14:paraId="4BC26BEA" w14:textId="64A9BE71" w:rsidR="00613926" w:rsidRDefault="00613926" w:rsidP="00613926">
      <w:pPr>
        <w:pStyle w:val="Caption"/>
        <w:keepNext/>
      </w:pPr>
      <w:r>
        <w:t xml:space="preserve">Student Demographics </w:t>
      </w:r>
      <w:r>
        <w:fldChar w:fldCharType="begin"/>
      </w:r>
      <w:r>
        <w:instrText xml:space="preserve"> SEQ Student_Demographics \* ARABIC </w:instrText>
      </w:r>
      <w:r>
        <w:fldChar w:fldCharType="separate"/>
      </w:r>
      <w:r>
        <w:rPr>
          <w:noProof/>
        </w:rPr>
        <w:t>2</w:t>
      </w:r>
      <w:r>
        <w:fldChar w:fldCharType="end"/>
      </w:r>
    </w:p>
    <w:tbl>
      <w:tblPr>
        <w:tblStyle w:val="TableGrid"/>
        <w:tblW w:w="9350" w:type="dxa"/>
        <w:tblLook w:val="04A0" w:firstRow="1" w:lastRow="0" w:firstColumn="1" w:lastColumn="0" w:noHBand="0" w:noVBand="1"/>
        <w:tblCaption w:val="ISD 2024 Demographics"/>
        <w:tblDescription w:val="Table shows the demographics as measured by gender (rows headings: Male and Female) and Ethicnity (column headings: Hispanic, American Indian/Alaska Native, Asian/Pacific Islander, Native Hawaiian/Pacific Islander, Black, White, Other, and Multiracial."/>
      </w:tblPr>
      <w:tblGrid>
        <w:gridCol w:w="1048"/>
        <w:gridCol w:w="826"/>
        <w:gridCol w:w="1361"/>
        <w:gridCol w:w="1025"/>
        <w:gridCol w:w="1284"/>
        <w:gridCol w:w="685"/>
        <w:gridCol w:w="706"/>
        <w:gridCol w:w="696"/>
        <w:gridCol w:w="1076"/>
        <w:gridCol w:w="643"/>
      </w:tblGrid>
      <w:tr w:rsidR="00613926" w14:paraId="62D6A402" w14:textId="77777777" w:rsidTr="00613926">
        <w:trPr>
          <w:cantSplit/>
          <w:trHeight w:val="1529"/>
        </w:trPr>
        <w:tc>
          <w:tcPr>
            <w:tcW w:w="985" w:type="dxa"/>
            <w:vAlign w:val="center"/>
          </w:tcPr>
          <w:p w14:paraId="646C074C" w14:textId="37FA7A98" w:rsidR="00613926" w:rsidRPr="00613926" w:rsidRDefault="00613926" w:rsidP="00613926">
            <w:pPr>
              <w:jc w:val="center"/>
            </w:pPr>
            <w:r>
              <w:t>Gender and Ethnicity</w:t>
            </w:r>
          </w:p>
        </w:tc>
        <w:tc>
          <w:tcPr>
            <w:tcW w:w="831" w:type="dxa"/>
            <w:textDirection w:val="btLr"/>
          </w:tcPr>
          <w:p w14:paraId="1F60D1E4" w14:textId="5DC9D772" w:rsidR="00613926" w:rsidRDefault="00613926" w:rsidP="00613926">
            <w:pPr>
              <w:ind w:left="113" w:right="113"/>
            </w:pPr>
            <w:r>
              <w:t>Hispanic</w:t>
            </w:r>
          </w:p>
        </w:tc>
        <w:tc>
          <w:tcPr>
            <w:tcW w:w="1375" w:type="dxa"/>
            <w:textDirection w:val="btLr"/>
          </w:tcPr>
          <w:p w14:paraId="6060E527" w14:textId="6F6F1FEC" w:rsidR="00613926" w:rsidRDefault="00613926" w:rsidP="00613926">
            <w:pPr>
              <w:ind w:left="113" w:right="113"/>
            </w:pPr>
            <w:r>
              <w:t>American Indian /Alaska Native</w:t>
            </w:r>
          </w:p>
        </w:tc>
        <w:tc>
          <w:tcPr>
            <w:tcW w:w="1034" w:type="dxa"/>
            <w:textDirection w:val="btLr"/>
          </w:tcPr>
          <w:p w14:paraId="7CC1F988" w14:textId="15289540" w:rsidR="00613926" w:rsidRDefault="00613926" w:rsidP="00613926">
            <w:pPr>
              <w:ind w:left="113" w:right="113"/>
            </w:pPr>
            <w:r>
              <w:t>Asian/ Pacific Islander</w:t>
            </w:r>
          </w:p>
        </w:tc>
        <w:tc>
          <w:tcPr>
            <w:tcW w:w="1297" w:type="dxa"/>
            <w:textDirection w:val="btLr"/>
          </w:tcPr>
          <w:p w14:paraId="0043F465" w14:textId="4A5D6A40" w:rsidR="00613926" w:rsidRDefault="00613926" w:rsidP="00613926">
            <w:pPr>
              <w:ind w:left="113" w:right="113"/>
            </w:pPr>
            <w:r>
              <w:t>Native Hawaiian / Pacific Islander</w:t>
            </w:r>
          </w:p>
        </w:tc>
        <w:tc>
          <w:tcPr>
            <w:tcW w:w="688" w:type="dxa"/>
            <w:textDirection w:val="btLr"/>
          </w:tcPr>
          <w:p w14:paraId="4A037765" w14:textId="567979BB" w:rsidR="00613926" w:rsidRDefault="00613926" w:rsidP="00613926">
            <w:pPr>
              <w:ind w:left="113" w:right="113"/>
            </w:pPr>
            <w:r>
              <w:t>Black</w:t>
            </w:r>
          </w:p>
        </w:tc>
        <w:tc>
          <w:tcPr>
            <w:tcW w:w="710" w:type="dxa"/>
            <w:textDirection w:val="btLr"/>
          </w:tcPr>
          <w:p w14:paraId="02083A15" w14:textId="2AEB178C" w:rsidR="00613926" w:rsidRDefault="00613926" w:rsidP="00613926">
            <w:pPr>
              <w:ind w:left="113" w:right="113"/>
            </w:pPr>
            <w:r>
              <w:t>White</w:t>
            </w:r>
          </w:p>
        </w:tc>
        <w:tc>
          <w:tcPr>
            <w:tcW w:w="699" w:type="dxa"/>
            <w:textDirection w:val="btLr"/>
          </w:tcPr>
          <w:p w14:paraId="10A8F812" w14:textId="0EEA687E" w:rsidR="00613926" w:rsidRDefault="00613926" w:rsidP="00613926">
            <w:pPr>
              <w:ind w:left="113" w:right="113"/>
            </w:pPr>
            <w:r>
              <w:t>Other</w:t>
            </w:r>
          </w:p>
        </w:tc>
        <w:tc>
          <w:tcPr>
            <w:tcW w:w="1085" w:type="dxa"/>
            <w:textDirection w:val="btLr"/>
          </w:tcPr>
          <w:p w14:paraId="3D41861C" w14:textId="77A8011B" w:rsidR="00613926" w:rsidRDefault="00613926" w:rsidP="00613926">
            <w:pPr>
              <w:ind w:left="113" w:right="113"/>
            </w:pPr>
            <w:r>
              <w:t>Multiracial</w:t>
            </w:r>
          </w:p>
        </w:tc>
        <w:tc>
          <w:tcPr>
            <w:tcW w:w="646" w:type="dxa"/>
            <w:textDirection w:val="btLr"/>
          </w:tcPr>
          <w:p w14:paraId="15C2BA2A" w14:textId="60891ADA" w:rsidR="00613926" w:rsidRDefault="00613926" w:rsidP="00613926">
            <w:pPr>
              <w:ind w:left="113" w:right="113"/>
            </w:pPr>
            <w:r>
              <w:t>Total</w:t>
            </w:r>
          </w:p>
        </w:tc>
      </w:tr>
      <w:tr w:rsidR="00613926" w14:paraId="7B6AC404" w14:textId="77777777" w:rsidTr="00613926">
        <w:tc>
          <w:tcPr>
            <w:tcW w:w="985" w:type="dxa"/>
          </w:tcPr>
          <w:p w14:paraId="5F5ED610" w14:textId="164412AB" w:rsidR="00613926" w:rsidRDefault="00613926" w:rsidP="00AA42ED">
            <w:r>
              <w:t>Male</w:t>
            </w:r>
          </w:p>
        </w:tc>
        <w:tc>
          <w:tcPr>
            <w:tcW w:w="831" w:type="dxa"/>
          </w:tcPr>
          <w:p w14:paraId="54470EE2" w14:textId="7C90D300" w:rsidR="00613926" w:rsidRDefault="00613926" w:rsidP="00AA42ED">
            <w:r>
              <w:t>10</w:t>
            </w:r>
          </w:p>
        </w:tc>
        <w:tc>
          <w:tcPr>
            <w:tcW w:w="1375" w:type="dxa"/>
          </w:tcPr>
          <w:p w14:paraId="4512E398" w14:textId="5AFB942B" w:rsidR="00613926" w:rsidRDefault="00613926" w:rsidP="00AA42ED">
            <w:r>
              <w:t>1</w:t>
            </w:r>
          </w:p>
        </w:tc>
        <w:tc>
          <w:tcPr>
            <w:tcW w:w="1034" w:type="dxa"/>
          </w:tcPr>
          <w:p w14:paraId="5764F787" w14:textId="3B6FDEDD" w:rsidR="00613926" w:rsidRDefault="00613926" w:rsidP="00AA42ED">
            <w:r>
              <w:t>1</w:t>
            </w:r>
          </w:p>
        </w:tc>
        <w:tc>
          <w:tcPr>
            <w:tcW w:w="1297" w:type="dxa"/>
          </w:tcPr>
          <w:p w14:paraId="00B222DA" w14:textId="2E08A910" w:rsidR="00613926" w:rsidRDefault="00613926" w:rsidP="00AA42ED">
            <w:r>
              <w:t>0</w:t>
            </w:r>
          </w:p>
        </w:tc>
        <w:tc>
          <w:tcPr>
            <w:tcW w:w="688" w:type="dxa"/>
          </w:tcPr>
          <w:p w14:paraId="4CEFB67F" w14:textId="4FE6D704" w:rsidR="00613926" w:rsidRDefault="00613926" w:rsidP="00AA42ED">
            <w:r>
              <w:t>2</w:t>
            </w:r>
          </w:p>
        </w:tc>
        <w:tc>
          <w:tcPr>
            <w:tcW w:w="710" w:type="dxa"/>
          </w:tcPr>
          <w:p w14:paraId="233913E9" w14:textId="178E4C46" w:rsidR="00613926" w:rsidRDefault="00613926" w:rsidP="00AA42ED">
            <w:r>
              <w:t>35</w:t>
            </w:r>
          </w:p>
        </w:tc>
        <w:tc>
          <w:tcPr>
            <w:tcW w:w="699" w:type="dxa"/>
          </w:tcPr>
          <w:p w14:paraId="5FBD948E" w14:textId="23E83097" w:rsidR="00613926" w:rsidRDefault="00613926" w:rsidP="00AA42ED">
            <w:r>
              <w:t>0</w:t>
            </w:r>
          </w:p>
        </w:tc>
        <w:tc>
          <w:tcPr>
            <w:tcW w:w="1085" w:type="dxa"/>
          </w:tcPr>
          <w:p w14:paraId="06F8ED4C" w14:textId="22A8FC9B" w:rsidR="00613926" w:rsidRDefault="00613926" w:rsidP="00AA42ED">
            <w:r>
              <w:t>3</w:t>
            </w:r>
          </w:p>
        </w:tc>
        <w:tc>
          <w:tcPr>
            <w:tcW w:w="646" w:type="dxa"/>
          </w:tcPr>
          <w:p w14:paraId="16B42AB1" w14:textId="3E557E11" w:rsidR="00613926" w:rsidRDefault="00613926" w:rsidP="00AA42ED">
            <w:r>
              <w:t>52</w:t>
            </w:r>
          </w:p>
        </w:tc>
      </w:tr>
      <w:tr w:rsidR="00613926" w14:paraId="1AF211CD" w14:textId="77777777" w:rsidTr="00613926">
        <w:tc>
          <w:tcPr>
            <w:tcW w:w="985" w:type="dxa"/>
          </w:tcPr>
          <w:p w14:paraId="49EECD6E" w14:textId="1252EC25" w:rsidR="00613926" w:rsidRDefault="00613926" w:rsidP="00AA42ED">
            <w:r>
              <w:t>Female</w:t>
            </w:r>
          </w:p>
        </w:tc>
        <w:tc>
          <w:tcPr>
            <w:tcW w:w="831" w:type="dxa"/>
          </w:tcPr>
          <w:p w14:paraId="694BD817" w14:textId="699C2EF6" w:rsidR="00613926" w:rsidRDefault="00613926" w:rsidP="00AA42ED">
            <w:r>
              <w:t>7</w:t>
            </w:r>
          </w:p>
        </w:tc>
        <w:tc>
          <w:tcPr>
            <w:tcW w:w="1375" w:type="dxa"/>
          </w:tcPr>
          <w:p w14:paraId="1DADD01C" w14:textId="27C27F1E" w:rsidR="00613926" w:rsidRDefault="00613926" w:rsidP="00AA42ED">
            <w:r>
              <w:t>3</w:t>
            </w:r>
          </w:p>
        </w:tc>
        <w:tc>
          <w:tcPr>
            <w:tcW w:w="1034" w:type="dxa"/>
          </w:tcPr>
          <w:p w14:paraId="53E25F35" w14:textId="6B935D04" w:rsidR="00613926" w:rsidRDefault="00613926" w:rsidP="00AA42ED">
            <w:r>
              <w:t>4</w:t>
            </w:r>
          </w:p>
        </w:tc>
        <w:tc>
          <w:tcPr>
            <w:tcW w:w="1297" w:type="dxa"/>
          </w:tcPr>
          <w:p w14:paraId="30158F46" w14:textId="0F64485C" w:rsidR="00613926" w:rsidRDefault="00613926" w:rsidP="00AA42ED">
            <w:r>
              <w:t>3</w:t>
            </w:r>
          </w:p>
        </w:tc>
        <w:tc>
          <w:tcPr>
            <w:tcW w:w="688" w:type="dxa"/>
          </w:tcPr>
          <w:p w14:paraId="462646BF" w14:textId="1538A619" w:rsidR="00613926" w:rsidRDefault="00613926" w:rsidP="00AA42ED">
            <w:r>
              <w:t>1</w:t>
            </w:r>
          </w:p>
        </w:tc>
        <w:tc>
          <w:tcPr>
            <w:tcW w:w="710" w:type="dxa"/>
          </w:tcPr>
          <w:p w14:paraId="4574F0D1" w14:textId="3B0C71B6" w:rsidR="00613926" w:rsidRDefault="00613926" w:rsidP="00AA42ED">
            <w:r>
              <w:t>22</w:t>
            </w:r>
          </w:p>
        </w:tc>
        <w:tc>
          <w:tcPr>
            <w:tcW w:w="699" w:type="dxa"/>
          </w:tcPr>
          <w:p w14:paraId="32475D31" w14:textId="67732756" w:rsidR="00613926" w:rsidRDefault="00613926" w:rsidP="00AA42ED">
            <w:r>
              <w:t>2</w:t>
            </w:r>
          </w:p>
        </w:tc>
        <w:tc>
          <w:tcPr>
            <w:tcW w:w="1085" w:type="dxa"/>
          </w:tcPr>
          <w:p w14:paraId="76CEDD6A" w14:textId="47B8EE60" w:rsidR="00613926" w:rsidRDefault="00613926" w:rsidP="00AA42ED">
            <w:r>
              <w:t>3</w:t>
            </w:r>
          </w:p>
        </w:tc>
        <w:tc>
          <w:tcPr>
            <w:tcW w:w="646" w:type="dxa"/>
          </w:tcPr>
          <w:p w14:paraId="791129AF" w14:textId="498ACBA7" w:rsidR="00613926" w:rsidRDefault="00613926" w:rsidP="00AA42ED">
            <w:r>
              <w:t>45</w:t>
            </w:r>
          </w:p>
        </w:tc>
      </w:tr>
      <w:tr w:rsidR="00613926" w14:paraId="340E4E00" w14:textId="77777777" w:rsidTr="00613926">
        <w:tc>
          <w:tcPr>
            <w:tcW w:w="985" w:type="dxa"/>
          </w:tcPr>
          <w:p w14:paraId="39ADECFD" w14:textId="77777777" w:rsidR="00613926" w:rsidRDefault="00613926" w:rsidP="00AA42ED"/>
        </w:tc>
        <w:tc>
          <w:tcPr>
            <w:tcW w:w="831" w:type="dxa"/>
          </w:tcPr>
          <w:p w14:paraId="60697688" w14:textId="77777777" w:rsidR="00613926" w:rsidRDefault="00613926" w:rsidP="00AA42ED"/>
        </w:tc>
        <w:tc>
          <w:tcPr>
            <w:tcW w:w="1375" w:type="dxa"/>
          </w:tcPr>
          <w:p w14:paraId="48F52A54" w14:textId="77777777" w:rsidR="00613926" w:rsidRDefault="00613926" w:rsidP="00AA42ED"/>
        </w:tc>
        <w:tc>
          <w:tcPr>
            <w:tcW w:w="1034" w:type="dxa"/>
          </w:tcPr>
          <w:p w14:paraId="0065BA14" w14:textId="77777777" w:rsidR="00613926" w:rsidRDefault="00613926" w:rsidP="00AA42ED"/>
        </w:tc>
        <w:tc>
          <w:tcPr>
            <w:tcW w:w="1297" w:type="dxa"/>
          </w:tcPr>
          <w:p w14:paraId="59A03169" w14:textId="77777777" w:rsidR="00613926" w:rsidRDefault="00613926" w:rsidP="00AA42ED"/>
        </w:tc>
        <w:tc>
          <w:tcPr>
            <w:tcW w:w="688" w:type="dxa"/>
          </w:tcPr>
          <w:p w14:paraId="7194600F" w14:textId="77777777" w:rsidR="00613926" w:rsidRDefault="00613926" w:rsidP="00AA42ED"/>
        </w:tc>
        <w:tc>
          <w:tcPr>
            <w:tcW w:w="710" w:type="dxa"/>
          </w:tcPr>
          <w:p w14:paraId="643622A6" w14:textId="77777777" w:rsidR="00613926" w:rsidRDefault="00613926" w:rsidP="00AA42ED"/>
        </w:tc>
        <w:tc>
          <w:tcPr>
            <w:tcW w:w="699" w:type="dxa"/>
          </w:tcPr>
          <w:p w14:paraId="0BDC163F" w14:textId="77777777" w:rsidR="00613926" w:rsidRDefault="00613926" w:rsidP="00AA42ED"/>
        </w:tc>
        <w:tc>
          <w:tcPr>
            <w:tcW w:w="1085" w:type="dxa"/>
          </w:tcPr>
          <w:p w14:paraId="154E1D7F" w14:textId="77777777" w:rsidR="00613926" w:rsidRDefault="00613926" w:rsidP="00AA42ED"/>
        </w:tc>
        <w:tc>
          <w:tcPr>
            <w:tcW w:w="646" w:type="dxa"/>
          </w:tcPr>
          <w:p w14:paraId="70CE43DC" w14:textId="783B18A3" w:rsidR="00613926" w:rsidRDefault="00613926" w:rsidP="00AA42ED">
            <w:r>
              <w:t>97</w:t>
            </w:r>
          </w:p>
        </w:tc>
      </w:tr>
    </w:tbl>
    <w:p w14:paraId="0E3DF0DB" w14:textId="77777777" w:rsidR="00DD3C3B" w:rsidRDefault="00DD3C3B"/>
    <w:p w14:paraId="794DCD15" w14:textId="77777777" w:rsidR="00DD3C3B" w:rsidRDefault="00EE2DF5">
      <w:pPr>
        <w:pStyle w:val="Heading3"/>
      </w:pPr>
      <w:bookmarkStart w:id="19" w:name="_yjymaqw0ju3h" w:colFirst="0" w:colLast="0"/>
      <w:bookmarkEnd w:id="19"/>
      <w:r>
        <w:t>Staff demographics</w:t>
      </w:r>
    </w:p>
    <w:p w14:paraId="38C1A26E" w14:textId="77777777" w:rsidR="00DD3C3B" w:rsidRDefault="00EE2DF5">
      <w:r>
        <w:t>ISD = 125 full time</w:t>
      </w:r>
    </w:p>
    <w:p w14:paraId="2F3F3DBC" w14:textId="77777777" w:rsidR="00DD3C3B" w:rsidRDefault="00EE2DF5">
      <w:pPr>
        <w:pStyle w:val="Heading3"/>
      </w:pPr>
      <w:bookmarkStart w:id="20" w:name="_xp4du5npt8ag" w:colFirst="0" w:colLast="0"/>
      <w:bookmarkEnd w:id="20"/>
      <w:r>
        <w:t>History</w:t>
      </w:r>
    </w:p>
    <w:p w14:paraId="241119F2" w14:textId="77777777" w:rsidR="007A64CB" w:rsidRDefault="007A64CB" w:rsidP="007A64CB">
      <w:r>
        <w:t>The Iowa School for the Deaf (ISD) was established in 1854-55 as the "Iowa Institute for the Deaf and the Dumb" in Iowa City. Initially a privately managed training school, it gained state funding in 1855 with twenty-one students aged twelve to twenty-eight. Facing space constraints in the late 1860s, the school moved to Council Bluffs in 1870, acquiring a vast land parcel for a new campus emphasizing vocational training in trades and manual labor. By the 1880s, the focus shifted to providing high school diplomas and encouraging college attendance, aligning with the opening of Gallaudet College in Washington, D.C. The first ISD students to earn diplomas in the 1880s marked a turning point, supported by the visionary Dr. J. Schuyler Long, who became the first deaf Principal from 1902 to 1933. Long's advocacy for higher education and deaf empowerment set the foundation for ISD's philosophy, making it a respected institution in Council Bluffs with enduring community support.</w:t>
      </w:r>
    </w:p>
    <w:p w14:paraId="790731DE" w14:textId="77777777" w:rsidR="007A64CB" w:rsidRPr="007A64CB" w:rsidRDefault="007A64CB" w:rsidP="007A64CB"/>
    <w:p w14:paraId="5BE35F81" w14:textId="77777777" w:rsidR="00DD3C3B" w:rsidRDefault="00EE2DF5">
      <w:pPr>
        <w:pStyle w:val="Heading3"/>
      </w:pPr>
      <w:bookmarkStart w:id="21" w:name="_gh995z67by4k" w:colFirst="0" w:colLast="0"/>
      <w:bookmarkEnd w:id="21"/>
      <w:r>
        <w:lastRenderedPageBreak/>
        <w:t>Diversity Statement</w:t>
      </w:r>
    </w:p>
    <w:p w14:paraId="3CD3CF13" w14:textId="77777777" w:rsidR="00DD3C3B" w:rsidRDefault="00EE2DF5">
      <w:pPr>
        <w:rPr>
          <w:b/>
        </w:rPr>
      </w:pPr>
      <w:r>
        <w:t>It is the policy of the executive branch of state government in the State of Iowa to “Provide equal employment opportunity within state government to all persons.” (Iowa Code chapter 19B.) The intent of this policy is to ensure that individuals are not denied equal access to state employment opportunities because of their race, creed, color, religion, sex, national origin, age, physical or mental disability, sexual orientation, gender identity, pregnancy or pregnancy-related condition, consistent with applicable state and federal policies and regulations. It is also the policy of the executive branch of state government in the State of Iowa to apply affirmative action measures to correct the underutilization of females, minorities, and persons with disabilities in the state employment system whenever remedial measures are appropriate.</w:t>
      </w:r>
    </w:p>
    <w:p w14:paraId="5D5B2399" w14:textId="77777777" w:rsidR="00DD3C3B" w:rsidRDefault="00EE2DF5">
      <w:pPr>
        <w:pStyle w:val="Heading1"/>
      </w:pPr>
      <w:bookmarkStart w:id="22" w:name="_wh0kvrpoaq72" w:colFirst="0" w:colLast="0"/>
      <w:bookmarkEnd w:id="22"/>
      <w:r>
        <w:t>Programs and Services</w:t>
      </w:r>
    </w:p>
    <w:p w14:paraId="572BDF5F" w14:textId="6037B448" w:rsidR="00DD3C3B" w:rsidRDefault="00EE2DF5">
      <w:pPr>
        <w:numPr>
          <w:ilvl w:val="0"/>
          <w:numId w:val="2"/>
        </w:numPr>
      </w:pPr>
      <w:bookmarkStart w:id="23" w:name="_hzc879e2dskb" w:colFirst="0" w:colLast="0"/>
      <w:bookmarkEnd w:id="23"/>
      <w:r>
        <w:t>Dormitory</w:t>
      </w:r>
    </w:p>
    <w:p w14:paraId="4925171A" w14:textId="77777777" w:rsidR="00DD3C3B" w:rsidRDefault="00EE2DF5">
      <w:pPr>
        <w:numPr>
          <w:ilvl w:val="1"/>
          <w:numId w:val="2"/>
        </w:numPr>
      </w:pPr>
      <w:r>
        <w:t xml:space="preserve">Living in the ISD campus dorms provides students a true language-immersion environment. </w:t>
      </w:r>
      <w:proofErr w:type="spellStart"/>
      <w:r>
        <w:t>Houseparents</w:t>
      </w:r>
      <w:proofErr w:type="spellEnd"/>
      <w:r>
        <w:t xml:space="preserve">, residential counselors, cooks, nurses and other staff can all interact with our students using sign language. For some students, </w:t>
      </w:r>
      <w:proofErr w:type="spellStart"/>
      <w:r>
        <w:t>comin</w:t>
      </w:r>
      <w:proofErr w:type="spellEnd"/>
      <w:r>
        <w:t>]’g to Iowa School for the Deaf is their first experience where they can directly communicate with others 24 hours a day. Language continues to be practiced and perfected in the boarding program, developing and enhancing both English and American Sign Language skills.</w:t>
      </w:r>
    </w:p>
    <w:p w14:paraId="2EF42740" w14:textId="77777777" w:rsidR="00DD3C3B" w:rsidRDefault="00EE2DF5">
      <w:pPr>
        <w:numPr>
          <w:ilvl w:val="0"/>
          <w:numId w:val="2"/>
        </w:numPr>
      </w:pPr>
      <w:r>
        <w:t>Outreach</w:t>
      </w:r>
    </w:p>
    <w:p w14:paraId="67927DD1" w14:textId="11DE65C7" w:rsidR="00DD3C3B" w:rsidRDefault="00EE2DF5">
      <w:pPr>
        <w:numPr>
          <w:ilvl w:val="1"/>
          <w:numId w:val="2"/>
        </w:numPr>
      </w:pPr>
      <w:r>
        <w:t xml:space="preserve">Iowa School for the Deaf Outreach Program provides appropriate assessment for deaf and hard of hearing students across Iowa by professionals for the purposes of academic, language, goal planning, monitoring performance and identifying learning and developmental needs. Skill assessments are also available for educational interpreters. The outreach program also provides resources and consultation to help families with deaf and hard-of-hearing children, early intervention programs, Area Education Agencies, and the Iowa Department of </w:t>
      </w:r>
      <w:r w:rsidR="007A64CB">
        <w:t>Education</w:t>
      </w:r>
      <w:r>
        <w:t xml:space="preserve">. </w:t>
      </w:r>
    </w:p>
    <w:p w14:paraId="79F1A446" w14:textId="77777777" w:rsidR="00DD3C3B" w:rsidRDefault="00EE2DF5">
      <w:pPr>
        <w:numPr>
          <w:ilvl w:val="1"/>
          <w:numId w:val="2"/>
        </w:numPr>
      </w:pPr>
      <w:r>
        <w:t>Sports</w:t>
      </w:r>
    </w:p>
    <w:p w14:paraId="3E667D2F" w14:textId="30D8BDD7" w:rsidR="00DD3C3B" w:rsidRDefault="00EE2DF5" w:rsidP="00DD0DCA">
      <w:pPr>
        <w:numPr>
          <w:ilvl w:val="2"/>
          <w:numId w:val="2"/>
        </w:numPr>
      </w:pPr>
      <w:r>
        <w:t>ISD elementary students (and area youth who are deaf but do not attend ISD) start building foundational skills in sports through this program. Practice for basketball and volleyball teams is held on ISD’s campus, with ISD coaches. Teams play against other youth teams in the local YMCA. The environment is fun and relaxed. Practices and games are based on season and availability.</w:t>
      </w:r>
      <w:bookmarkStart w:id="24" w:name="_argtol2hjrjf" w:colFirst="0" w:colLast="0"/>
      <w:bookmarkEnd w:id="24"/>
    </w:p>
    <w:p w14:paraId="18A78B58" w14:textId="77777777" w:rsidR="00A23EBF" w:rsidRDefault="00A23EBF" w:rsidP="00A23EBF">
      <w:pPr>
        <w:numPr>
          <w:ilvl w:val="0"/>
          <w:numId w:val="2"/>
        </w:numPr>
      </w:pPr>
      <w:r>
        <w:t>Preschool</w:t>
      </w:r>
    </w:p>
    <w:p w14:paraId="6E9964D7" w14:textId="77777777" w:rsidR="00A23EBF" w:rsidRDefault="00A23EBF" w:rsidP="00A23EBF">
      <w:pPr>
        <w:numPr>
          <w:ilvl w:val="1"/>
          <w:numId w:val="2"/>
        </w:numPr>
      </w:pPr>
      <w:r>
        <w:t>The earlier children experience a language-rich environment, the stronger their vocabulary and communication skills will be. This leads to ultimately narrowing the learning gap between them and their hearing peers. Families choose a preschool schedule that is right for them, from daily attendance to attendance a few days a week.</w:t>
      </w:r>
    </w:p>
    <w:p w14:paraId="0DBE7CF3" w14:textId="77777777" w:rsidR="00A23EBF" w:rsidRDefault="00A23EBF" w:rsidP="00A23EBF">
      <w:pPr>
        <w:numPr>
          <w:ilvl w:val="0"/>
          <w:numId w:val="2"/>
        </w:numPr>
      </w:pPr>
      <w:r>
        <w:lastRenderedPageBreak/>
        <w:t>Elementary</w:t>
      </w:r>
    </w:p>
    <w:p w14:paraId="5FCC3F08" w14:textId="77777777" w:rsidR="00A23EBF" w:rsidRDefault="00A23EBF" w:rsidP="00A23EBF">
      <w:pPr>
        <w:numPr>
          <w:ilvl w:val="1"/>
          <w:numId w:val="2"/>
        </w:numPr>
      </w:pPr>
      <w:r>
        <w:t xml:space="preserve">In addition to academic classes routinely found in public school programs, students in Iowa School for the </w:t>
      </w:r>
      <w:proofErr w:type="spellStart"/>
      <w:r>
        <w:t>Deaf’s</w:t>
      </w:r>
      <w:proofErr w:type="spellEnd"/>
      <w:r>
        <w:t xml:space="preserve"> elementary school are offered art, speech therapy, language, American Sign Language, library, physical </w:t>
      </w:r>
      <w:proofErr w:type="gramStart"/>
      <w:r>
        <w:t>education</w:t>
      </w:r>
      <w:proofErr w:type="gramEnd"/>
      <w:r>
        <w:t xml:space="preserve"> and guidance. Small class sizes allow teachers to address diverse needs of the students who rotate classrooms for all subjects. This increases independence and organization skills.</w:t>
      </w:r>
    </w:p>
    <w:p w14:paraId="399AFE0F" w14:textId="77777777" w:rsidR="00A23EBF" w:rsidRDefault="00A23EBF" w:rsidP="00A23EBF">
      <w:pPr>
        <w:numPr>
          <w:ilvl w:val="0"/>
          <w:numId w:val="2"/>
        </w:numPr>
      </w:pPr>
      <w:r>
        <w:t>Middle School and High School</w:t>
      </w:r>
    </w:p>
    <w:p w14:paraId="0A114B5C" w14:textId="77777777" w:rsidR="00A23EBF" w:rsidRDefault="00A23EBF" w:rsidP="00A23EBF">
      <w:pPr>
        <w:numPr>
          <w:ilvl w:val="1"/>
          <w:numId w:val="2"/>
        </w:numPr>
      </w:pPr>
      <w:r>
        <w:t xml:space="preserve">Students are challenged to use critical thinking, </w:t>
      </w:r>
      <w:proofErr w:type="gramStart"/>
      <w:r>
        <w:t>imagination</w:t>
      </w:r>
      <w:proofErr w:type="gramEnd"/>
      <w:r>
        <w:t xml:space="preserve"> and creativity in classes. Staff help foster skills and attitudes within each student leading to positive self-esteem and self-advocacy. Aside from classes typically offered in public high school programs, a transition focus prepares students for life outside of high school, both in the worlds of work and college. Some students mainstream at Lewis Central High School (located across the street) with an Iowa School for the Deaf interpreter. The semester system is used at Iowa School for the </w:t>
      </w:r>
      <w:proofErr w:type="gramStart"/>
      <w:r>
        <w:t>Deaf</w:t>
      </w:r>
      <w:proofErr w:type="gramEnd"/>
      <w:r>
        <w:t xml:space="preserve"> and each credit equals one semester of class. Iowa School for the Deaf students meet Iowa’s required criteria to graduate, as determined by the Iowa Department of Education.  Extracurricular activities range from sports to clubs and events.</w:t>
      </w:r>
    </w:p>
    <w:p w14:paraId="5484CDF4" w14:textId="77777777" w:rsidR="00A23EBF" w:rsidRDefault="00A23EBF" w:rsidP="00A23EBF">
      <w:pPr>
        <w:numPr>
          <w:ilvl w:val="0"/>
          <w:numId w:val="2"/>
        </w:numPr>
      </w:pPr>
      <w:r>
        <w:t>4-Plus</w:t>
      </w:r>
    </w:p>
    <w:p w14:paraId="05DDF910" w14:textId="77777777" w:rsidR="00A23EBF" w:rsidRDefault="00A23EBF" w:rsidP="00A23EBF">
      <w:pPr>
        <w:numPr>
          <w:ilvl w:val="1"/>
          <w:numId w:val="2"/>
        </w:numPr>
      </w:pPr>
      <w:r>
        <w:t>Iowa School for the Deaf provides programming for post-seniors with unmet transition needs. We offer extra support as deaf or hard of hearing students look for jobs or take classes at a local community college.</w:t>
      </w:r>
    </w:p>
    <w:p w14:paraId="2FA8921C" w14:textId="77777777" w:rsidR="00A23EBF" w:rsidRDefault="00A23EBF" w:rsidP="00A23EBF">
      <w:pPr>
        <w:numPr>
          <w:ilvl w:val="0"/>
          <w:numId w:val="2"/>
        </w:numPr>
      </w:pPr>
      <w:r>
        <w:t>Athletics</w:t>
      </w:r>
    </w:p>
    <w:p w14:paraId="70FA17F5" w14:textId="77777777" w:rsidR="00A23EBF" w:rsidRDefault="00A23EBF" w:rsidP="00A23EBF">
      <w:pPr>
        <w:numPr>
          <w:ilvl w:val="1"/>
          <w:numId w:val="2"/>
        </w:numPr>
      </w:pPr>
      <w:r>
        <w:t xml:space="preserve">Iowa School for the Deaf has a strong athletic tradition! Current sports offerings are cheerleading, cross country, volleyball, basketball, </w:t>
      </w:r>
      <w:proofErr w:type="gramStart"/>
      <w:r>
        <w:t>track</w:t>
      </w:r>
      <w:proofErr w:type="gramEnd"/>
      <w:r>
        <w:t xml:space="preserve"> and Special Olympics. We compete against junior varsity teams or private schools in the local area, but the competition heats up when we play against other schools for the deaf.</w:t>
      </w:r>
    </w:p>
    <w:p w14:paraId="4575FF66" w14:textId="77777777" w:rsidR="00A23EBF" w:rsidRDefault="00A23EBF" w:rsidP="00A23EBF">
      <w:pPr>
        <w:numPr>
          <w:ilvl w:val="0"/>
          <w:numId w:val="2"/>
        </w:numPr>
      </w:pPr>
      <w:r>
        <w:t>After School Programs</w:t>
      </w:r>
    </w:p>
    <w:p w14:paraId="5AD3CD63" w14:textId="77777777" w:rsidR="00A23EBF" w:rsidRDefault="00A23EBF" w:rsidP="00A23EBF">
      <w:pPr>
        <w:numPr>
          <w:ilvl w:val="1"/>
          <w:numId w:val="2"/>
        </w:numPr>
      </w:pPr>
      <w:r>
        <w:t>WEE</w:t>
      </w:r>
    </w:p>
    <w:p w14:paraId="0A7B26EF" w14:textId="77777777" w:rsidR="00A23EBF" w:rsidRDefault="00A23EBF" w:rsidP="00A23EBF">
      <w:pPr>
        <w:numPr>
          <w:ilvl w:val="2"/>
          <w:numId w:val="2"/>
        </w:numPr>
      </w:pPr>
      <w:r>
        <w:t xml:space="preserve">When offered, in the We Explore our Environment (WEE) program, ISD’s youngest students focus on social and language skills. These students do not live on campus, and do not even need to be enrolled at ISD to participate. Rather than go to a daycare or straight home after school, these students can experience an extended 90 minutes which complements their development in a fun atmosphere. </w:t>
      </w:r>
    </w:p>
    <w:p w14:paraId="31915BBE" w14:textId="77777777" w:rsidR="00A23EBF" w:rsidRDefault="00A23EBF" w:rsidP="00A23EBF">
      <w:pPr>
        <w:numPr>
          <w:ilvl w:val="1"/>
          <w:numId w:val="2"/>
        </w:numPr>
      </w:pPr>
      <w:r>
        <w:t>STEAM</w:t>
      </w:r>
    </w:p>
    <w:p w14:paraId="7CB72230" w14:textId="2E9582AF" w:rsidR="00A23EBF" w:rsidRDefault="00A23EBF" w:rsidP="00A23EBF">
      <w:pPr>
        <w:numPr>
          <w:ilvl w:val="2"/>
          <w:numId w:val="2"/>
        </w:numPr>
      </w:pPr>
      <w:r>
        <w:t xml:space="preserve">The Science, Technology, Engineering, </w:t>
      </w:r>
      <w:proofErr w:type="gramStart"/>
      <w:r>
        <w:t>Art</w:t>
      </w:r>
      <w:proofErr w:type="gramEnd"/>
      <w:r>
        <w:t xml:space="preserve"> and Math (STEAM) program is geared toward middle school students. This program typically meets twice a week after school for 90 minutes. The focus is on educational activities in the content areas of science, technology, engineering, the arts, and math. There are thousands of potential careers and jobs in the </w:t>
      </w:r>
      <w:r>
        <w:lastRenderedPageBreak/>
        <w:t xml:space="preserve">STEAM fields, and ISD aims to provide these students with a taste of their full career potential. </w:t>
      </w:r>
    </w:p>
    <w:p w14:paraId="4C2CCE23" w14:textId="77777777" w:rsidR="00663BDD" w:rsidRPr="00663BDD" w:rsidRDefault="00663BDD" w:rsidP="00663BDD">
      <w:pPr>
        <w:numPr>
          <w:ilvl w:val="0"/>
          <w:numId w:val="2"/>
        </w:numPr>
        <w:rPr>
          <w:lang w:val="en-US"/>
        </w:rPr>
      </w:pPr>
      <w:r w:rsidRPr="00663BDD">
        <w:rPr>
          <w:lang w:val="en-US"/>
        </w:rPr>
        <w:t>Youth Sports</w:t>
      </w:r>
    </w:p>
    <w:p w14:paraId="079BB712" w14:textId="51378A67" w:rsidR="008D5EC0" w:rsidRPr="00663BDD" w:rsidRDefault="00663BDD" w:rsidP="00663BDD">
      <w:pPr>
        <w:numPr>
          <w:ilvl w:val="1"/>
          <w:numId w:val="2"/>
        </w:numPr>
        <w:rPr>
          <w:lang w:val="en-US"/>
        </w:rPr>
      </w:pPr>
      <w:r w:rsidRPr="00663BDD">
        <w:rPr>
          <w:lang w:val="en-US"/>
        </w:rPr>
        <w:t>ISD elementary students (and area youth who are deaf but do not attend ISD) start building foundational skills in sports through this program. Practice for basketball and volleyball teams is held on ISD’s campus, with ISD coaches. Teams play against other youth teams in the local YMCA. The environment is fun and relaxed. Practices and games are based on season and availability.</w:t>
      </w:r>
    </w:p>
    <w:p w14:paraId="7CDD4A17" w14:textId="77777777" w:rsidR="00DD3C3B" w:rsidRDefault="00EE2DF5">
      <w:pPr>
        <w:pStyle w:val="Heading1"/>
      </w:pPr>
      <w:bookmarkStart w:id="25" w:name="_chqpn9sexxgv" w:colFirst="0" w:colLast="0"/>
      <w:bookmarkEnd w:id="25"/>
      <w:r>
        <w:t>Strategic Plan</w:t>
      </w:r>
    </w:p>
    <w:p w14:paraId="330B76B3" w14:textId="77777777" w:rsidR="00DD3C3B" w:rsidRDefault="00DD3C3B"/>
    <w:p w14:paraId="59D592CF" w14:textId="328BAD78" w:rsidR="00DD3C3B" w:rsidRDefault="00EE2DF5">
      <w:r>
        <w:t xml:space="preserve">Strategic Plan for </w:t>
      </w:r>
      <w:r w:rsidR="00BE6530">
        <w:t>ISD and IESBVI</w:t>
      </w:r>
      <w:r>
        <w:t xml:space="preserve"> Administration</w:t>
      </w:r>
    </w:p>
    <w:p w14:paraId="716DEA9C" w14:textId="77777777" w:rsidR="00DD3C3B" w:rsidRDefault="00EE2DF5">
      <w:r>
        <w:t xml:space="preserve">Goal 1: Improve agency effectiveness by ensuring relevance of programs and </w:t>
      </w:r>
      <w:proofErr w:type="gramStart"/>
      <w:r>
        <w:t>services</w:t>
      </w:r>
      <w:proofErr w:type="gramEnd"/>
    </w:p>
    <w:p w14:paraId="20CE5397" w14:textId="77777777" w:rsidR="00DD3C3B" w:rsidRDefault="00EE2DF5">
      <w:r>
        <w:t>Goal 2: Ensure both internal and external stakeholders are informed about agency progress to achieve strategic goals.</w:t>
      </w:r>
    </w:p>
    <w:p w14:paraId="26699782" w14:textId="77777777" w:rsidR="00DD3C3B" w:rsidRDefault="00DD3C3B"/>
    <w:p w14:paraId="3BE60CED" w14:textId="77777777" w:rsidR="00DD3C3B" w:rsidRDefault="00EE2DF5">
      <w:r>
        <w:t>Strategic Plan for Communications</w:t>
      </w:r>
    </w:p>
    <w:p w14:paraId="038AAA81" w14:textId="27257C23" w:rsidR="00DD3C3B" w:rsidRDefault="00EE2DF5">
      <w:r>
        <w:t xml:space="preserve">Goal 1: Raise stakeholder awareness of </w:t>
      </w:r>
      <w:r w:rsidR="00BE6530">
        <w:t>ISD and IESBVI</w:t>
      </w:r>
      <w:r>
        <w:t xml:space="preserve"> as a trusted resource and school/program of choice.</w:t>
      </w:r>
    </w:p>
    <w:p w14:paraId="79BBD87F" w14:textId="0CFA305D" w:rsidR="00DD3C3B" w:rsidRDefault="00EE2DF5">
      <w:r>
        <w:t xml:space="preserve">Goal 2: Engage stakeholders to become advocates for services and programs offered from </w:t>
      </w:r>
      <w:r w:rsidR="00BE6530">
        <w:t>ISD and IESBVI</w:t>
      </w:r>
      <w:r>
        <w:t>.</w:t>
      </w:r>
    </w:p>
    <w:p w14:paraId="366D84D6" w14:textId="77777777" w:rsidR="00DD3C3B" w:rsidRDefault="00DD3C3B"/>
    <w:p w14:paraId="228DD398" w14:textId="77777777" w:rsidR="00DD3C3B" w:rsidRDefault="00EE2DF5">
      <w:r>
        <w:t>Strategic Plan for Human Resources</w:t>
      </w:r>
    </w:p>
    <w:p w14:paraId="35FB3D7E" w14:textId="77777777" w:rsidR="00DD3C3B" w:rsidRDefault="00EE2DF5">
      <w:r>
        <w:t>Goal 1: Improve the recruitment process and practices to effectively access potential applicants.</w:t>
      </w:r>
    </w:p>
    <w:p w14:paraId="0272EB5C" w14:textId="77777777" w:rsidR="00DD3C3B" w:rsidRDefault="00DD3C3B"/>
    <w:p w14:paraId="0DBBE112" w14:textId="77777777" w:rsidR="00DD3C3B" w:rsidRDefault="00EE2DF5">
      <w:r>
        <w:t>Strategic Plan for Business Operations</w:t>
      </w:r>
    </w:p>
    <w:p w14:paraId="7BB62F4D" w14:textId="77777777" w:rsidR="00DD3C3B" w:rsidRDefault="00EE2DF5">
      <w:r>
        <w:t>Goal 1: Increase efficient use of I-Visions.</w:t>
      </w:r>
    </w:p>
    <w:p w14:paraId="1741A3EC" w14:textId="77777777" w:rsidR="00DD3C3B" w:rsidRDefault="00EE2DF5">
      <w:r>
        <w:t>Goal 2: Increase campus security.</w:t>
      </w:r>
    </w:p>
    <w:p w14:paraId="4C3A4D74" w14:textId="77777777" w:rsidR="00DD3C3B" w:rsidRDefault="00EE2DF5">
      <w:r>
        <w:t>Goal 3: All staff have technology that is current and meets their needs.</w:t>
      </w:r>
    </w:p>
    <w:p w14:paraId="73BA483C" w14:textId="77777777" w:rsidR="00DD3C3B" w:rsidRDefault="00DD3C3B"/>
    <w:p w14:paraId="4C72119E" w14:textId="77777777" w:rsidR="00DD3C3B" w:rsidRDefault="00EE2DF5">
      <w:r>
        <w:t>Strategic Plan for Student Life</w:t>
      </w:r>
    </w:p>
    <w:p w14:paraId="4F1AC2EC" w14:textId="77777777" w:rsidR="00DD3C3B" w:rsidRDefault="00EE2DF5">
      <w:r>
        <w:t>Goal 1: Develop and implement opportunities for personal and professional development for staff and training and support for students and families to address the social-emotional needs of our students.</w:t>
      </w:r>
    </w:p>
    <w:p w14:paraId="50B4C07C" w14:textId="77777777" w:rsidR="00DD3C3B" w:rsidRDefault="00DD3C3B"/>
    <w:p w14:paraId="41492C57" w14:textId="77777777" w:rsidR="00DD3C3B" w:rsidRDefault="00EE2DF5">
      <w:r>
        <w:t>Strategic Plan Outreach</w:t>
      </w:r>
    </w:p>
    <w:p w14:paraId="2F36D089" w14:textId="77777777" w:rsidR="00DD3C3B" w:rsidRDefault="00EE2DF5">
      <w:r>
        <w:t>Goal 1: Develop multilingual, culturally considerate informational brochures that explain each of the five programs to be distributed via email, social media, and the new ISD website.</w:t>
      </w:r>
    </w:p>
    <w:p w14:paraId="64EAE3D2" w14:textId="77777777" w:rsidR="00DD3C3B" w:rsidRDefault="00EE2DF5">
      <w:r>
        <w:t>Goal 2: Develop budgets and sustainable models of funding for each outreach initiative.</w:t>
      </w:r>
    </w:p>
    <w:p w14:paraId="2232D724" w14:textId="77777777" w:rsidR="00DD3C3B" w:rsidRDefault="00DD3C3B"/>
    <w:p w14:paraId="1374507B" w14:textId="77777777" w:rsidR="00DD3C3B" w:rsidRDefault="00EE2DF5">
      <w:r>
        <w:t>Strategic Plan for ISD Education Program</w:t>
      </w:r>
    </w:p>
    <w:p w14:paraId="70402E56" w14:textId="77777777" w:rsidR="00DD3C3B" w:rsidRDefault="00EE2DF5">
      <w:r>
        <w:t xml:space="preserve">Goal 1: Improve the level of academic and social/emotional supports we provide to ISD </w:t>
      </w:r>
      <w:proofErr w:type="gramStart"/>
      <w:r>
        <w:t>students</w:t>
      </w:r>
      <w:proofErr w:type="gramEnd"/>
    </w:p>
    <w:p w14:paraId="693E8729" w14:textId="77777777" w:rsidR="00DD3C3B" w:rsidRDefault="00DD3C3B"/>
    <w:p w14:paraId="1ED41BB8" w14:textId="77777777" w:rsidR="00DD3C3B" w:rsidRDefault="00EE2DF5">
      <w:r>
        <w:lastRenderedPageBreak/>
        <w:t>Strategic Plan – IESBVI Education Program</w:t>
      </w:r>
    </w:p>
    <w:p w14:paraId="4A3823EE" w14:textId="77777777" w:rsidR="00DD3C3B" w:rsidRDefault="00EE2DF5">
      <w:r>
        <w:t>Goal 1: Children who are blind/visually impaired will have completed Expanded Core Curriculum assessments for each IEP ECC goal area.</w:t>
      </w:r>
    </w:p>
    <w:p w14:paraId="66C7433E" w14:textId="77777777" w:rsidR="00DD3C3B" w:rsidRDefault="00EE2DF5">
      <w:pPr>
        <w:pStyle w:val="Heading1"/>
      </w:pPr>
      <w:bookmarkStart w:id="26" w:name="_jd3p0nkw8qik" w:colFirst="0" w:colLast="0"/>
      <w:bookmarkEnd w:id="26"/>
      <w:r>
        <w:t>Fiscal and Budget</w:t>
      </w:r>
    </w:p>
    <w:p w14:paraId="056B7CF1" w14:textId="77777777" w:rsidR="00DD3C3B" w:rsidRDefault="00DD3C3B"/>
    <w:p w14:paraId="07A4CDBF" w14:textId="77777777" w:rsidR="00DD3C3B" w:rsidRDefault="00EE2DF5">
      <w:r>
        <w:t>Revenues</w:t>
      </w:r>
    </w:p>
    <w:p w14:paraId="715DA7BC" w14:textId="77777777" w:rsidR="00BC3029" w:rsidRDefault="00BC3029"/>
    <w:tbl>
      <w:tblPr>
        <w:tblStyle w:val="TableGrid"/>
        <w:tblW w:w="0" w:type="auto"/>
        <w:tblLook w:val="04A0" w:firstRow="1" w:lastRow="0" w:firstColumn="1" w:lastColumn="0" w:noHBand="0" w:noVBand="1"/>
        <w:tblCaption w:val="Type of Revenue"/>
        <w:tblDescription w:val="This table shows types of revenues. The first column lists types: General Appropriations, Federal Support, Indirect Cost, Outside of State Pupil Revenue, and AEA TVI and O&amp;M Revenues. The subsequent columns liss their corresponding percentages."/>
      </w:tblPr>
      <w:tblGrid>
        <w:gridCol w:w="1650"/>
        <w:gridCol w:w="1257"/>
        <w:gridCol w:w="1309"/>
        <w:gridCol w:w="1258"/>
        <w:gridCol w:w="1309"/>
        <w:gridCol w:w="1258"/>
        <w:gridCol w:w="1309"/>
      </w:tblGrid>
      <w:tr w:rsidR="005260D2" w14:paraId="6CA4EF6A" w14:textId="77777777" w:rsidTr="007765C2">
        <w:trPr>
          <w:cantSplit/>
          <w:tblHeader/>
        </w:trPr>
        <w:tc>
          <w:tcPr>
            <w:tcW w:w="1335" w:type="dxa"/>
            <w:vAlign w:val="bottom"/>
          </w:tcPr>
          <w:p w14:paraId="1D3B1181" w14:textId="5B925AF8" w:rsidR="005260D2" w:rsidRPr="007765C2" w:rsidRDefault="005260D2" w:rsidP="005260D2">
            <w:pPr>
              <w:rPr>
                <w:b/>
                <w:bCs/>
                <w:sz w:val="20"/>
                <w:szCs w:val="20"/>
              </w:rPr>
            </w:pPr>
            <w:r w:rsidRPr="007765C2">
              <w:rPr>
                <w:b/>
                <w:bCs/>
                <w:color w:val="000000"/>
                <w:sz w:val="20"/>
                <w:szCs w:val="20"/>
              </w:rPr>
              <w:t>Type of Revenue</w:t>
            </w:r>
          </w:p>
        </w:tc>
        <w:tc>
          <w:tcPr>
            <w:tcW w:w="1335" w:type="dxa"/>
            <w:vAlign w:val="bottom"/>
          </w:tcPr>
          <w:p w14:paraId="7E1B4200" w14:textId="18B8CB4A" w:rsidR="005260D2" w:rsidRPr="007765C2" w:rsidRDefault="005260D2" w:rsidP="005260D2">
            <w:pPr>
              <w:rPr>
                <w:b/>
                <w:bCs/>
                <w:sz w:val="20"/>
                <w:szCs w:val="20"/>
              </w:rPr>
            </w:pPr>
            <w:r w:rsidRPr="007765C2">
              <w:rPr>
                <w:b/>
                <w:bCs/>
                <w:color w:val="000000"/>
                <w:sz w:val="20"/>
                <w:szCs w:val="20"/>
              </w:rPr>
              <w:t>ISD</w:t>
            </w:r>
          </w:p>
        </w:tc>
        <w:tc>
          <w:tcPr>
            <w:tcW w:w="1336" w:type="dxa"/>
            <w:vAlign w:val="bottom"/>
          </w:tcPr>
          <w:p w14:paraId="76BFE66B" w14:textId="045B9EA4" w:rsidR="005260D2" w:rsidRPr="007765C2" w:rsidRDefault="005260D2" w:rsidP="005260D2">
            <w:pPr>
              <w:rPr>
                <w:b/>
                <w:bCs/>
                <w:sz w:val="20"/>
                <w:szCs w:val="20"/>
              </w:rPr>
            </w:pPr>
            <w:r w:rsidRPr="007765C2">
              <w:rPr>
                <w:b/>
                <w:bCs/>
                <w:color w:val="000000"/>
                <w:sz w:val="20"/>
                <w:szCs w:val="20"/>
              </w:rPr>
              <w:t>Percentage of total ISD Revenue</w:t>
            </w:r>
          </w:p>
        </w:tc>
        <w:tc>
          <w:tcPr>
            <w:tcW w:w="1336" w:type="dxa"/>
            <w:vAlign w:val="bottom"/>
          </w:tcPr>
          <w:p w14:paraId="3AF790C8" w14:textId="49E1BB5D" w:rsidR="005260D2" w:rsidRPr="007765C2" w:rsidRDefault="005260D2" w:rsidP="005260D2">
            <w:pPr>
              <w:rPr>
                <w:b/>
                <w:bCs/>
                <w:sz w:val="20"/>
                <w:szCs w:val="20"/>
              </w:rPr>
            </w:pPr>
            <w:r w:rsidRPr="007765C2">
              <w:rPr>
                <w:b/>
                <w:bCs/>
                <w:color w:val="000000"/>
                <w:sz w:val="20"/>
                <w:szCs w:val="20"/>
              </w:rPr>
              <w:t>IESBVI</w:t>
            </w:r>
          </w:p>
        </w:tc>
        <w:tc>
          <w:tcPr>
            <w:tcW w:w="1336" w:type="dxa"/>
            <w:vAlign w:val="bottom"/>
          </w:tcPr>
          <w:p w14:paraId="467A1083" w14:textId="3E9E74E6" w:rsidR="005260D2" w:rsidRPr="007765C2" w:rsidRDefault="005260D2" w:rsidP="005260D2">
            <w:pPr>
              <w:rPr>
                <w:b/>
                <w:bCs/>
                <w:sz w:val="20"/>
                <w:szCs w:val="20"/>
              </w:rPr>
            </w:pPr>
            <w:r w:rsidRPr="007765C2">
              <w:rPr>
                <w:b/>
                <w:bCs/>
                <w:color w:val="000000"/>
                <w:sz w:val="20"/>
                <w:szCs w:val="20"/>
              </w:rPr>
              <w:t>Percentage of total IESBVI Revenue</w:t>
            </w:r>
          </w:p>
        </w:tc>
        <w:tc>
          <w:tcPr>
            <w:tcW w:w="1336" w:type="dxa"/>
            <w:vAlign w:val="bottom"/>
          </w:tcPr>
          <w:p w14:paraId="53D852D9" w14:textId="1EC3C3FC" w:rsidR="005260D2" w:rsidRPr="007765C2" w:rsidRDefault="005260D2" w:rsidP="005260D2">
            <w:pPr>
              <w:rPr>
                <w:b/>
                <w:bCs/>
                <w:sz w:val="20"/>
                <w:szCs w:val="20"/>
              </w:rPr>
            </w:pPr>
            <w:r w:rsidRPr="007765C2">
              <w:rPr>
                <w:b/>
                <w:bCs/>
                <w:color w:val="000000"/>
                <w:sz w:val="20"/>
                <w:szCs w:val="20"/>
              </w:rPr>
              <w:t>Total Revenues</w:t>
            </w:r>
          </w:p>
        </w:tc>
        <w:tc>
          <w:tcPr>
            <w:tcW w:w="1336" w:type="dxa"/>
            <w:vAlign w:val="bottom"/>
          </w:tcPr>
          <w:p w14:paraId="2CEF1FD5" w14:textId="5742639A" w:rsidR="005260D2" w:rsidRPr="007765C2" w:rsidRDefault="005260D2" w:rsidP="005260D2">
            <w:pPr>
              <w:rPr>
                <w:b/>
                <w:bCs/>
                <w:sz w:val="20"/>
                <w:szCs w:val="20"/>
              </w:rPr>
            </w:pPr>
            <w:r w:rsidRPr="007765C2">
              <w:rPr>
                <w:b/>
                <w:bCs/>
                <w:color w:val="000000"/>
                <w:sz w:val="20"/>
                <w:szCs w:val="20"/>
              </w:rPr>
              <w:t>Percentage</w:t>
            </w:r>
          </w:p>
        </w:tc>
      </w:tr>
      <w:tr w:rsidR="005260D2" w14:paraId="1F33D0B8" w14:textId="77777777" w:rsidTr="007765C2">
        <w:trPr>
          <w:cantSplit/>
          <w:tblHeader/>
        </w:trPr>
        <w:tc>
          <w:tcPr>
            <w:tcW w:w="1335" w:type="dxa"/>
            <w:vAlign w:val="bottom"/>
          </w:tcPr>
          <w:p w14:paraId="0E81A8D3" w14:textId="28F3E89B" w:rsidR="005260D2" w:rsidRPr="007765C2" w:rsidRDefault="005260D2" w:rsidP="005260D2">
            <w:pPr>
              <w:rPr>
                <w:b/>
                <w:bCs/>
                <w:sz w:val="20"/>
                <w:szCs w:val="20"/>
              </w:rPr>
            </w:pPr>
            <w:r w:rsidRPr="007765C2">
              <w:rPr>
                <w:b/>
                <w:bCs/>
                <w:color w:val="000000"/>
                <w:sz w:val="20"/>
                <w:szCs w:val="20"/>
              </w:rPr>
              <w:t>General Appropriations</w:t>
            </w:r>
          </w:p>
        </w:tc>
        <w:tc>
          <w:tcPr>
            <w:tcW w:w="1335" w:type="dxa"/>
            <w:vAlign w:val="bottom"/>
          </w:tcPr>
          <w:p w14:paraId="1F366F1C" w14:textId="302F5E19" w:rsidR="005260D2" w:rsidRPr="007765C2" w:rsidRDefault="005260D2" w:rsidP="005260D2">
            <w:pPr>
              <w:rPr>
                <w:sz w:val="20"/>
                <w:szCs w:val="20"/>
              </w:rPr>
            </w:pPr>
            <w:r w:rsidRPr="007765C2">
              <w:rPr>
                <w:color w:val="000000"/>
                <w:sz w:val="20"/>
                <w:szCs w:val="20"/>
              </w:rPr>
              <w:t>11,621,710</w:t>
            </w:r>
          </w:p>
        </w:tc>
        <w:tc>
          <w:tcPr>
            <w:tcW w:w="1336" w:type="dxa"/>
            <w:vAlign w:val="bottom"/>
          </w:tcPr>
          <w:p w14:paraId="06515174" w14:textId="2439AC1E" w:rsidR="005260D2" w:rsidRPr="007765C2" w:rsidRDefault="005260D2" w:rsidP="005260D2">
            <w:pPr>
              <w:rPr>
                <w:sz w:val="20"/>
                <w:szCs w:val="20"/>
              </w:rPr>
            </w:pPr>
            <w:r w:rsidRPr="007765C2">
              <w:rPr>
                <w:rFonts w:ascii="Calibri" w:hAnsi="Calibri" w:cs="Calibri"/>
                <w:color w:val="000000"/>
                <w:sz w:val="20"/>
                <w:szCs w:val="20"/>
              </w:rPr>
              <w:t>82%</w:t>
            </w:r>
          </w:p>
        </w:tc>
        <w:tc>
          <w:tcPr>
            <w:tcW w:w="1336" w:type="dxa"/>
            <w:vAlign w:val="bottom"/>
          </w:tcPr>
          <w:p w14:paraId="78AE7F2B" w14:textId="538CB5DE" w:rsidR="005260D2" w:rsidRPr="007765C2" w:rsidRDefault="005260D2" w:rsidP="005260D2">
            <w:pPr>
              <w:rPr>
                <w:sz w:val="20"/>
                <w:szCs w:val="20"/>
              </w:rPr>
            </w:pPr>
            <w:r w:rsidRPr="007765C2">
              <w:rPr>
                <w:color w:val="000000"/>
                <w:sz w:val="20"/>
                <w:szCs w:val="20"/>
              </w:rPr>
              <w:t>4,794,040</w:t>
            </w:r>
          </w:p>
        </w:tc>
        <w:tc>
          <w:tcPr>
            <w:tcW w:w="1336" w:type="dxa"/>
            <w:vAlign w:val="bottom"/>
          </w:tcPr>
          <w:p w14:paraId="59517F05" w14:textId="5829DD9D" w:rsidR="005260D2" w:rsidRPr="007765C2" w:rsidRDefault="005260D2" w:rsidP="005260D2">
            <w:pPr>
              <w:rPr>
                <w:sz w:val="20"/>
                <w:szCs w:val="20"/>
              </w:rPr>
            </w:pPr>
            <w:r w:rsidRPr="007765C2">
              <w:rPr>
                <w:rFonts w:ascii="Calibri" w:hAnsi="Calibri" w:cs="Calibri"/>
                <w:color w:val="000000"/>
                <w:sz w:val="20"/>
                <w:szCs w:val="20"/>
              </w:rPr>
              <w:t>46%</w:t>
            </w:r>
          </w:p>
        </w:tc>
        <w:tc>
          <w:tcPr>
            <w:tcW w:w="1336" w:type="dxa"/>
            <w:vAlign w:val="bottom"/>
          </w:tcPr>
          <w:p w14:paraId="2682B9F6" w14:textId="5927B350" w:rsidR="005260D2" w:rsidRPr="007765C2" w:rsidRDefault="005260D2" w:rsidP="005260D2">
            <w:pPr>
              <w:rPr>
                <w:sz w:val="20"/>
                <w:szCs w:val="20"/>
              </w:rPr>
            </w:pPr>
            <w:r w:rsidRPr="007765C2">
              <w:rPr>
                <w:color w:val="000000"/>
                <w:sz w:val="20"/>
                <w:szCs w:val="20"/>
              </w:rPr>
              <w:t>16,415,750</w:t>
            </w:r>
          </w:p>
        </w:tc>
        <w:tc>
          <w:tcPr>
            <w:tcW w:w="1336" w:type="dxa"/>
            <w:vAlign w:val="bottom"/>
          </w:tcPr>
          <w:p w14:paraId="0024CF5D" w14:textId="6316F7C0" w:rsidR="005260D2" w:rsidRPr="007765C2" w:rsidRDefault="005260D2" w:rsidP="005260D2">
            <w:pPr>
              <w:rPr>
                <w:sz w:val="20"/>
                <w:szCs w:val="20"/>
              </w:rPr>
            </w:pPr>
            <w:r w:rsidRPr="007765C2">
              <w:rPr>
                <w:rFonts w:ascii="Calibri" w:hAnsi="Calibri" w:cs="Calibri"/>
                <w:color w:val="000000"/>
                <w:sz w:val="20"/>
                <w:szCs w:val="20"/>
              </w:rPr>
              <w:t>66%</w:t>
            </w:r>
          </w:p>
        </w:tc>
      </w:tr>
      <w:tr w:rsidR="005260D2" w14:paraId="296DD41B" w14:textId="77777777" w:rsidTr="007765C2">
        <w:trPr>
          <w:cantSplit/>
          <w:tblHeader/>
        </w:trPr>
        <w:tc>
          <w:tcPr>
            <w:tcW w:w="1335" w:type="dxa"/>
            <w:vAlign w:val="bottom"/>
          </w:tcPr>
          <w:p w14:paraId="21DAE396" w14:textId="032B6BFA" w:rsidR="005260D2" w:rsidRPr="007765C2" w:rsidRDefault="005260D2" w:rsidP="005260D2">
            <w:pPr>
              <w:rPr>
                <w:b/>
                <w:bCs/>
                <w:sz w:val="20"/>
                <w:szCs w:val="20"/>
              </w:rPr>
            </w:pPr>
            <w:r w:rsidRPr="007765C2">
              <w:rPr>
                <w:b/>
                <w:bCs/>
                <w:color w:val="000000"/>
                <w:sz w:val="20"/>
                <w:szCs w:val="20"/>
              </w:rPr>
              <w:t>Federal Support</w:t>
            </w:r>
          </w:p>
        </w:tc>
        <w:tc>
          <w:tcPr>
            <w:tcW w:w="1335" w:type="dxa"/>
            <w:vAlign w:val="bottom"/>
          </w:tcPr>
          <w:p w14:paraId="6559B0F4" w14:textId="33DA0686" w:rsidR="005260D2" w:rsidRPr="007765C2" w:rsidRDefault="005260D2" w:rsidP="005260D2">
            <w:pPr>
              <w:rPr>
                <w:sz w:val="20"/>
                <w:szCs w:val="20"/>
              </w:rPr>
            </w:pPr>
            <w:r w:rsidRPr="007765C2">
              <w:rPr>
                <w:color w:val="000000"/>
                <w:sz w:val="20"/>
                <w:szCs w:val="20"/>
              </w:rPr>
              <w:t>429,343</w:t>
            </w:r>
          </w:p>
        </w:tc>
        <w:tc>
          <w:tcPr>
            <w:tcW w:w="1336" w:type="dxa"/>
            <w:vAlign w:val="bottom"/>
          </w:tcPr>
          <w:p w14:paraId="3CE67B13" w14:textId="4E391F11" w:rsidR="005260D2" w:rsidRPr="007765C2" w:rsidRDefault="005260D2" w:rsidP="005260D2">
            <w:pPr>
              <w:rPr>
                <w:sz w:val="20"/>
                <w:szCs w:val="20"/>
              </w:rPr>
            </w:pPr>
            <w:r w:rsidRPr="007765C2">
              <w:rPr>
                <w:rFonts w:ascii="Calibri" w:hAnsi="Calibri" w:cs="Calibri"/>
                <w:color w:val="000000"/>
                <w:sz w:val="20"/>
                <w:szCs w:val="20"/>
              </w:rPr>
              <w:t>3%</w:t>
            </w:r>
          </w:p>
        </w:tc>
        <w:tc>
          <w:tcPr>
            <w:tcW w:w="1336" w:type="dxa"/>
            <w:vAlign w:val="bottom"/>
          </w:tcPr>
          <w:p w14:paraId="710C5A19" w14:textId="0069BE99" w:rsidR="005260D2" w:rsidRPr="007765C2" w:rsidRDefault="005260D2" w:rsidP="005260D2">
            <w:pPr>
              <w:rPr>
                <w:sz w:val="20"/>
                <w:szCs w:val="20"/>
              </w:rPr>
            </w:pPr>
            <w:r w:rsidRPr="007765C2">
              <w:rPr>
                <w:color w:val="000000"/>
                <w:sz w:val="20"/>
                <w:szCs w:val="20"/>
              </w:rPr>
              <w:t>836,607</w:t>
            </w:r>
          </w:p>
        </w:tc>
        <w:tc>
          <w:tcPr>
            <w:tcW w:w="1336" w:type="dxa"/>
            <w:vAlign w:val="bottom"/>
          </w:tcPr>
          <w:p w14:paraId="01E954E4" w14:textId="73C1AAE0" w:rsidR="005260D2" w:rsidRPr="007765C2" w:rsidRDefault="005260D2" w:rsidP="005260D2">
            <w:pPr>
              <w:rPr>
                <w:sz w:val="20"/>
                <w:szCs w:val="20"/>
              </w:rPr>
            </w:pPr>
            <w:r w:rsidRPr="007765C2">
              <w:rPr>
                <w:rFonts w:ascii="Calibri" w:hAnsi="Calibri" w:cs="Calibri"/>
                <w:color w:val="000000"/>
                <w:sz w:val="20"/>
                <w:szCs w:val="20"/>
              </w:rPr>
              <w:t>8%</w:t>
            </w:r>
          </w:p>
        </w:tc>
        <w:tc>
          <w:tcPr>
            <w:tcW w:w="1336" w:type="dxa"/>
            <w:vAlign w:val="bottom"/>
          </w:tcPr>
          <w:p w14:paraId="6F6A6034" w14:textId="67C55586" w:rsidR="005260D2" w:rsidRPr="007765C2" w:rsidRDefault="005260D2" w:rsidP="005260D2">
            <w:pPr>
              <w:rPr>
                <w:sz w:val="20"/>
                <w:szCs w:val="20"/>
              </w:rPr>
            </w:pPr>
            <w:r w:rsidRPr="007765C2">
              <w:rPr>
                <w:color w:val="000000"/>
                <w:sz w:val="20"/>
                <w:szCs w:val="20"/>
              </w:rPr>
              <w:t>1,265,950</w:t>
            </w:r>
          </w:p>
        </w:tc>
        <w:tc>
          <w:tcPr>
            <w:tcW w:w="1336" w:type="dxa"/>
            <w:vAlign w:val="bottom"/>
          </w:tcPr>
          <w:p w14:paraId="5EF99FA1" w14:textId="186EF164" w:rsidR="005260D2" w:rsidRPr="007765C2" w:rsidRDefault="005260D2" w:rsidP="005260D2">
            <w:pPr>
              <w:rPr>
                <w:sz w:val="20"/>
                <w:szCs w:val="20"/>
              </w:rPr>
            </w:pPr>
            <w:r w:rsidRPr="007765C2">
              <w:rPr>
                <w:rFonts w:ascii="Calibri" w:hAnsi="Calibri" w:cs="Calibri"/>
                <w:color w:val="000000"/>
                <w:sz w:val="20"/>
                <w:szCs w:val="20"/>
              </w:rPr>
              <w:t>5%</w:t>
            </w:r>
          </w:p>
        </w:tc>
      </w:tr>
      <w:tr w:rsidR="005260D2" w14:paraId="48B8DBB3" w14:textId="77777777" w:rsidTr="007765C2">
        <w:trPr>
          <w:cantSplit/>
          <w:tblHeader/>
        </w:trPr>
        <w:tc>
          <w:tcPr>
            <w:tcW w:w="1335" w:type="dxa"/>
            <w:vAlign w:val="bottom"/>
          </w:tcPr>
          <w:p w14:paraId="756EE9DF" w14:textId="732F3888" w:rsidR="005260D2" w:rsidRPr="007765C2" w:rsidRDefault="005260D2" w:rsidP="005260D2">
            <w:pPr>
              <w:rPr>
                <w:b/>
                <w:bCs/>
                <w:sz w:val="20"/>
                <w:szCs w:val="20"/>
              </w:rPr>
            </w:pPr>
            <w:r w:rsidRPr="007765C2">
              <w:rPr>
                <w:b/>
                <w:bCs/>
                <w:color w:val="000000"/>
                <w:sz w:val="20"/>
                <w:szCs w:val="20"/>
              </w:rPr>
              <w:t>Indirect Cost</w:t>
            </w:r>
          </w:p>
        </w:tc>
        <w:tc>
          <w:tcPr>
            <w:tcW w:w="1335" w:type="dxa"/>
            <w:vAlign w:val="bottom"/>
          </w:tcPr>
          <w:p w14:paraId="3B0EF697" w14:textId="7598A3E0" w:rsidR="005260D2" w:rsidRPr="007765C2" w:rsidRDefault="005260D2" w:rsidP="005260D2">
            <w:pPr>
              <w:rPr>
                <w:sz w:val="20"/>
                <w:szCs w:val="20"/>
              </w:rPr>
            </w:pPr>
            <w:r w:rsidRPr="007765C2">
              <w:rPr>
                <w:color w:val="000000"/>
                <w:sz w:val="20"/>
                <w:szCs w:val="20"/>
              </w:rPr>
              <w:t>15,000</w:t>
            </w:r>
          </w:p>
        </w:tc>
        <w:tc>
          <w:tcPr>
            <w:tcW w:w="1336" w:type="dxa"/>
            <w:vAlign w:val="bottom"/>
          </w:tcPr>
          <w:p w14:paraId="4816CBF5" w14:textId="7BD3CCEB" w:rsidR="005260D2" w:rsidRPr="007765C2" w:rsidRDefault="005260D2" w:rsidP="005260D2">
            <w:pPr>
              <w:rPr>
                <w:sz w:val="20"/>
                <w:szCs w:val="20"/>
              </w:rPr>
            </w:pPr>
            <w:r w:rsidRPr="007765C2">
              <w:rPr>
                <w:rFonts w:ascii="Calibri" w:hAnsi="Calibri" w:cs="Calibri"/>
                <w:color w:val="000000"/>
                <w:sz w:val="20"/>
                <w:szCs w:val="20"/>
              </w:rPr>
              <w:t>0%</w:t>
            </w:r>
          </w:p>
        </w:tc>
        <w:tc>
          <w:tcPr>
            <w:tcW w:w="1336" w:type="dxa"/>
            <w:vAlign w:val="bottom"/>
          </w:tcPr>
          <w:p w14:paraId="2D9B4C53" w14:textId="07696004" w:rsidR="005260D2" w:rsidRPr="007765C2" w:rsidRDefault="005260D2" w:rsidP="005260D2">
            <w:pPr>
              <w:rPr>
                <w:sz w:val="20"/>
                <w:szCs w:val="20"/>
              </w:rPr>
            </w:pPr>
            <w:r w:rsidRPr="007765C2">
              <w:rPr>
                <w:color w:val="000000"/>
                <w:sz w:val="20"/>
                <w:szCs w:val="20"/>
              </w:rPr>
              <w:t>58,332</w:t>
            </w:r>
          </w:p>
        </w:tc>
        <w:tc>
          <w:tcPr>
            <w:tcW w:w="1336" w:type="dxa"/>
            <w:vAlign w:val="bottom"/>
          </w:tcPr>
          <w:p w14:paraId="39CBC938" w14:textId="70952AAE" w:rsidR="005260D2" w:rsidRPr="007765C2" w:rsidRDefault="005260D2" w:rsidP="005260D2">
            <w:pPr>
              <w:rPr>
                <w:sz w:val="20"/>
                <w:szCs w:val="20"/>
              </w:rPr>
            </w:pPr>
            <w:r w:rsidRPr="007765C2">
              <w:rPr>
                <w:rFonts w:ascii="Calibri" w:hAnsi="Calibri" w:cs="Calibri"/>
                <w:color w:val="000000"/>
                <w:sz w:val="20"/>
                <w:szCs w:val="20"/>
              </w:rPr>
              <w:t>1%</w:t>
            </w:r>
          </w:p>
        </w:tc>
        <w:tc>
          <w:tcPr>
            <w:tcW w:w="1336" w:type="dxa"/>
            <w:vAlign w:val="bottom"/>
          </w:tcPr>
          <w:p w14:paraId="59F3449B" w14:textId="25933C04" w:rsidR="005260D2" w:rsidRPr="007765C2" w:rsidRDefault="005260D2" w:rsidP="005260D2">
            <w:pPr>
              <w:rPr>
                <w:sz w:val="20"/>
                <w:szCs w:val="20"/>
              </w:rPr>
            </w:pPr>
            <w:r w:rsidRPr="007765C2">
              <w:rPr>
                <w:color w:val="000000"/>
                <w:sz w:val="20"/>
                <w:szCs w:val="20"/>
              </w:rPr>
              <w:t>73,332</w:t>
            </w:r>
          </w:p>
        </w:tc>
        <w:tc>
          <w:tcPr>
            <w:tcW w:w="1336" w:type="dxa"/>
            <w:vAlign w:val="bottom"/>
          </w:tcPr>
          <w:p w14:paraId="649BD149" w14:textId="1C722106" w:rsidR="005260D2" w:rsidRPr="007765C2" w:rsidRDefault="005260D2" w:rsidP="005260D2">
            <w:pPr>
              <w:rPr>
                <w:sz w:val="20"/>
                <w:szCs w:val="20"/>
              </w:rPr>
            </w:pPr>
            <w:r w:rsidRPr="007765C2">
              <w:rPr>
                <w:rFonts w:ascii="Calibri" w:hAnsi="Calibri" w:cs="Calibri"/>
                <w:color w:val="000000"/>
                <w:sz w:val="20"/>
                <w:szCs w:val="20"/>
              </w:rPr>
              <w:t>0%</w:t>
            </w:r>
          </w:p>
        </w:tc>
      </w:tr>
      <w:tr w:rsidR="005260D2" w14:paraId="0FE7113C" w14:textId="77777777" w:rsidTr="007765C2">
        <w:trPr>
          <w:cantSplit/>
          <w:tblHeader/>
        </w:trPr>
        <w:tc>
          <w:tcPr>
            <w:tcW w:w="1335" w:type="dxa"/>
            <w:vAlign w:val="bottom"/>
          </w:tcPr>
          <w:p w14:paraId="76D1375E" w14:textId="6169A62A" w:rsidR="005260D2" w:rsidRPr="007765C2" w:rsidRDefault="005260D2" w:rsidP="005260D2">
            <w:pPr>
              <w:rPr>
                <w:b/>
                <w:bCs/>
                <w:sz w:val="20"/>
                <w:szCs w:val="20"/>
              </w:rPr>
            </w:pPr>
            <w:r w:rsidRPr="007765C2">
              <w:rPr>
                <w:b/>
                <w:bCs/>
                <w:color w:val="000000"/>
                <w:sz w:val="20"/>
                <w:szCs w:val="20"/>
              </w:rPr>
              <w:t>Outside of State Pupil Revenue</w:t>
            </w:r>
          </w:p>
        </w:tc>
        <w:tc>
          <w:tcPr>
            <w:tcW w:w="1335" w:type="dxa"/>
            <w:vAlign w:val="bottom"/>
          </w:tcPr>
          <w:p w14:paraId="53460D14" w14:textId="2D1881EF" w:rsidR="005260D2" w:rsidRPr="007765C2" w:rsidRDefault="005260D2" w:rsidP="005260D2">
            <w:pPr>
              <w:rPr>
                <w:sz w:val="20"/>
                <w:szCs w:val="20"/>
              </w:rPr>
            </w:pPr>
            <w:r w:rsidRPr="007765C2">
              <w:rPr>
                <w:color w:val="000000"/>
                <w:sz w:val="20"/>
                <w:szCs w:val="20"/>
              </w:rPr>
              <w:t>1,312,185</w:t>
            </w:r>
          </w:p>
        </w:tc>
        <w:tc>
          <w:tcPr>
            <w:tcW w:w="1336" w:type="dxa"/>
            <w:vAlign w:val="bottom"/>
          </w:tcPr>
          <w:p w14:paraId="4170A2BD" w14:textId="203D7E26" w:rsidR="005260D2" w:rsidRPr="007765C2" w:rsidRDefault="005260D2" w:rsidP="005260D2">
            <w:pPr>
              <w:rPr>
                <w:sz w:val="20"/>
                <w:szCs w:val="20"/>
              </w:rPr>
            </w:pPr>
            <w:r w:rsidRPr="007765C2">
              <w:rPr>
                <w:rFonts w:ascii="Calibri" w:hAnsi="Calibri" w:cs="Calibri"/>
                <w:color w:val="000000"/>
                <w:sz w:val="20"/>
                <w:szCs w:val="20"/>
              </w:rPr>
              <w:t>9%</w:t>
            </w:r>
          </w:p>
        </w:tc>
        <w:tc>
          <w:tcPr>
            <w:tcW w:w="1336" w:type="dxa"/>
            <w:vAlign w:val="bottom"/>
          </w:tcPr>
          <w:p w14:paraId="19200AC6" w14:textId="721D46DA" w:rsidR="005260D2" w:rsidRPr="007765C2" w:rsidRDefault="005260D2" w:rsidP="005260D2">
            <w:pPr>
              <w:rPr>
                <w:sz w:val="20"/>
                <w:szCs w:val="20"/>
              </w:rPr>
            </w:pPr>
            <w:r w:rsidRPr="007765C2">
              <w:rPr>
                <w:color w:val="000000"/>
                <w:sz w:val="20"/>
                <w:szCs w:val="20"/>
              </w:rPr>
              <w:t>-</w:t>
            </w:r>
          </w:p>
        </w:tc>
        <w:tc>
          <w:tcPr>
            <w:tcW w:w="1336" w:type="dxa"/>
            <w:vAlign w:val="bottom"/>
          </w:tcPr>
          <w:p w14:paraId="7D4A06CC" w14:textId="68340B3C" w:rsidR="005260D2" w:rsidRPr="007765C2" w:rsidRDefault="005260D2" w:rsidP="005260D2">
            <w:pPr>
              <w:rPr>
                <w:sz w:val="20"/>
                <w:szCs w:val="20"/>
              </w:rPr>
            </w:pPr>
            <w:r w:rsidRPr="007765C2">
              <w:rPr>
                <w:rFonts w:ascii="Calibri" w:hAnsi="Calibri" w:cs="Calibri"/>
                <w:color w:val="000000"/>
                <w:sz w:val="20"/>
                <w:szCs w:val="20"/>
              </w:rPr>
              <w:t>0%</w:t>
            </w:r>
          </w:p>
        </w:tc>
        <w:tc>
          <w:tcPr>
            <w:tcW w:w="1336" w:type="dxa"/>
            <w:vAlign w:val="bottom"/>
          </w:tcPr>
          <w:p w14:paraId="1BF3BB25" w14:textId="2F9FE82C" w:rsidR="005260D2" w:rsidRPr="007765C2" w:rsidRDefault="005260D2" w:rsidP="005260D2">
            <w:pPr>
              <w:rPr>
                <w:sz w:val="20"/>
                <w:szCs w:val="20"/>
              </w:rPr>
            </w:pPr>
            <w:r w:rsidRPr="007765C2">
              <w:rPr>
                <w:color w:val="000000"/>
                <w:sz w:val="20"/>
                <w:szCs w:val="20"/>
              </w:rPr>
              <w:t>1,312,185</w:t>
            </w:r>
          </w:p>
        </w:tc>
        <w:tc>
          <w:tcPr>
            <w:tcW w:w="1336" w:type="dxa"/>
            <w:vAlign w:val="bottom"/>
          </w:tcPr>
          <w:p w14:paraId="705F37A8" w14:textId="249A9EA0" w:rsidR="005260D2" w:rsidRPr="007765C2" w:rsidRDefault="005260D2" w:rsidP="005260D2">
            <w:pPr>
              <w:rPr>
                <w:sz w:val="20"/>
                <w:szCs w:val="20"/>
              </w:rPr>
            </w:pPr>
            <w:r w:rsidRPr="007765C2">
              <w:rPr>
                <w:rFonts w:ascii="Calibri" w:hAnsi="Calibri" w:cs="Calibri"/>
                <w:color w:val="000000"/>
                <w:sz w:val="20"/>
                <w:szCs w:val="20"/>
              </w:rPr>
              <w:t>5%</w:t>
            </w:r>
          </w:p>
        </w:tc>
      </w:tr>
      <w:tr w:rsidR="005260D2" w14:paraId="0872F599" w14:textId="77777777" w:rsidTr="007765C2">
        <w:trPr>
          <w:cantSplit/>
          <w:tblHeader/>
        </w:trPr>
        <w:tc>
          <w:tcPr>
            <w:tcW w:w="1335" w:type="dxa"/>
            <w:vAlign w:val="bottom"/>
          </w:tcPr>
          <w:p w14:paraId="2E8CDF2C" w14:textId="391E8B4F" w:rsidR="005260D2" w:rsidRPr="007765C2" w:rsidRDefault="005260D2" w:rsidP="005260D2">
            <w:pPr>
              <w:rPr>
                <w:b/>
                <w:bCs/>
                <w:sz w:val="20"/>
                <w:szCs w:val="20"/>
              </w:rPr>
            </w:pPr>
            <w:r w:rsidRPr="007765C2">
              <w:rPr>
                <w:b/>
                <w:bCs/>
                <w:color w:val="000000"/>
                <w:sz w:val="20"/>
                <w:szCs w:val="20"/>
              </w:rPr>
              <w:t xml:space="preserve">AEA TVI &amp; O&amp;M </w:t>
            </w:r>
            <w:r w:rsidR="00BC3029" w:rsidRPr="007765C2">
              <w:rPr>
                <w:b/>
                <w:bCs/>
                <w:color w:val="000000"/>
                <w:sz w:val="20"/>
                <w:szCs w:val="20"/>
              </w:rPr>
              <w:t>Revenue</w:t>
            </w:r>
          </w:p>
        </w:tc>
        <w:tc>
          <w:tcPr>
            <w:tcW w:w="1335" w:type="dxa"/>
            <w:vAlign w:val="bottom"/>
          </w:tcPr>
          <w:p w14:paraId="6D5A738C" w14:textId="6AD95253" w:rsidR="005260D2" w:rsidRPr="007765C2" w:rsidRDefault="00BC3029" w:rsidP="005260D2">
            <w:pPr>
              <w:rPr>
                <w:sz w:val="20"/>
                <w:szCs w:val="20"/>
              </w:rPr>
            </w:pPr>
            <w:r w:rsidRPr="007765C2">
              <w:rPr>
                <w:sz w:val="20"/>
                <w:szCs w:val="20"/>
              </w:rPr>
              <w:t>-</w:t>
            </w:r>
          </w:p>
        </w:tc>
        <w:tc>
          <w:tcPr>
            <w:tcW w:w="1336" w:type="dxa"/>
            <w:vAlign w:val="bottom"/>
          </w:tcPr>
          <w:p w14:paraId="420FB686" w14:textId="4E12FB1E" w:rsidR="005260D2" w:rsidRPr="007765C2" w:rsidRDefault="005260D2" w:rsidP="005260D2">
            <w:pPr>
              <w:rPr>
                <w:sz w:val="20"/>
                <w:szCs w:val="20"/>
              </w:rPr>
            </w:pPr>
            <w:r w:rsidRPr="007765C2">
              <w:rPr>
                <w:rFonts w:ascii="Calibri" w:hAnsi="Calibri" w:cs="Calibri"/>
                <w:color w:val="000000"/>
                <w:sz w:val="20"/>
                <w:szCs w:val="20"/>
              </w:rPr>
              <w:t>0%</w:t>
            </w:r>
          </w:p>
        </w:tc>
        <w:tc>
          <w:tcPr>
            <w:tcW w:w="1336" w:type="dxa"/>
            <w:vAlign w:val="bottom"/>
          </w:tcPr>
          <w:p w14:paraId="6FDA0579" w14:textId="49388604" w:rsidR="005260D2" w:rsidRPr="007765C2" w:rsidRDefault="005260D2" w:rsidP="005260D2">
            <w:pPr>
              <w:rPr>
                <w:sz w:val="20"/>
                <w:szCs w:val="20"/>
              </w:rPr>
            </w:pPr>
            <w:r w:rsidRPr="007765C2">
              <w:rPr>
                <w:color w:val="000000"/>
                <w:sz w:val="20"/>
                <w:szCs w:val="20"/>
              </w:rPr>
              <w:t>4,619,726</w:t>
            </w:r>
          </w:p>
        </w:tc>
        <w:tc>
          <w:tcPr>
            <w:tcW w:w="1336" w:type="dxa"/>
            <w:vAlign w:val="bottom"/>
          </w:tcPr>
          <w:p w14:paraId="1A10E826" w14:textId="187A124F" w:rsidR="005260D2" w:rsidRPr="007765C2" w:rsidRDefault="005260D2" w:rsidP="005260D2">
            <w:pPr>
              <w:rPr>
                <w:sz w:val="20"/>
                <w:szCs w:val="20"/>
              </w:rPr>
            </w:pPr>
            <w:r w:rsidRPr="007765C2">
              <w:rPr>
                <w:rFonts w:ascii="Calibri" w:hAnsi="Calibri" w:cs="Calibri"/>
                <w:color w:val="000000"/>
                <w:sz w:val="20"/>
                <w:szCs w:val="20"/>
              </w:rPr>
              <w:t>44%</w:t>
            </w:r>
          </w:p>
        </w:tc>
        <w:tc>
          <w:tcPr>
            <w:tcW w:w="1336" w:type="dxa"/>
            <w:vAlign w:val="bottom"/>
          </w:tcPr>
          <w:p w14:paraId="15A6B095" w14:textId="1E1D25C9" w:rsidR="005260D2" w:rsidRPr="007765C2" w:rsidRDefault="005260D2" w:rsidP="005260D2">
            <w:pPr>
              <w:rPr>
                <w:sz w:val="20"/>
                <w:szCs w:val="20"/>
              </w:rPr>
            </w:pPr>
            <w:r w:rsidRPr="007765C2">
              <w:rPr>
                <w:color w:val="000000"/>
                <w:sz w:val="20"/>
                <w:szCs w:val="20"/>
              </w:rPr>
              <w:t>4,619,726</w:t>
            </w:r>
          </w:p>
        </w:tc>
        <w:tc>
          <w:tcPr>
            <w:tcW w:w="1336" w:type="dxa"/>
            <w:vAlign w:val="bottom"/>
          </w:tcPr>
          <w:p w14:paraId="36D0EF23" w14:textId="5F3F55A0" w:rsidR="005260D2" w:rsidRPr="007765C2" w:rsidRDefault="005260D2" w:rsidP="007765C2">
            <w:pPr>
              <w:keepNext/>
              <w:rPr>
                <w:sz w:val="20"/>
                <w:szCs w:val="20"/>
              </w:rPr>
            </w:pPr>
            <w:r w:rsidRPr="007765C2">
              <w:rPr>
                <w:rFonts w:ascii="Calibri" w:hAnsi="Calibri" w:cs="Calibri"/>
                <w:color w:val="000000"/>
                <w:sz w:val="20"/>
                <w:szCs w:val="20"/>
              </w:rPr>
              <w:t>19%</w:t>
            </w:r>
          </w:p>
        </w:tc>
      </w:tr>
      <w:tr w:rsidR="00096C89" w14:paraId="4749637A" w14:textId="77777777" w:rsidTr="007765C2">
        <w:trPr>
          <w:cantSplit/>
          <w:tblHeader/>
        </w:trPr>
        <w:tc>
          <w:tcPr>
            <w:tcW w:w="1335" w:type="dxa"/>
            <w:vAlign w:val="bottom"/>
          </w:tcPr>
          <w:p w14:paraId="7853F8F0" w14:textId="738E73F6" w:rsidR="00096C89" w:rsidRPr="007765C2" w:rsidRDefault="005749E7" w:rsidP="005260D2">
            <w:pPr>
              <w:rPr>
                <w:b/>
                <w:bCs/>
                <w:color w:val="000000"/>
                <w:sz w:val="20"/>
                <w:szCs w:val="20"/>
              </w:rPr>
            </w:pPr>
            <w:r>
              <w:rPr>
                <w:b/>
                <w:bCs/>
                <w:color w:val="000000"/>
                <w:sz w:val="20"/>
                <w:szCs w:val="20"/>
              </w:rPr>
              <w:t>Other Income</w:t>
            </w:r>
          </w:p>
        </w:tc>
        <w:tc>
          <w:tcPr>
            <w:tcW w:w="1335" w:type="dxa"/>
            <w:vAlign w:val="bottom"/>
          </w:tcPr>
          <w:p w14:paraId="4881FD2F" w14:textId="198F5F7A" w:rsidR="00096C89" w:rsidRPr="007765C2" w:rsidRDefault="005749E7" w:rsidP="005260D2">
            <w:pPr>
              <w:rPr>
                <w:sz w:val="20"/>
                <w:szCs w:val="20"/>
              </w:rPr>
            </w:pPr>
            <w:r>
              <w:rPr>
                <w:sz w:val="20"/>
                <w:szCs w:val="20"/>
              </w:rPr>
              <w:t>859,954</w:t>
            </w:r>
          </w:p>
        </w:tc>
        <w:tc>
          <w:tcPr>
            <w:tcW w:w="1336" w:type="dxa"/>
            <w:vAlign w:val="bottom"/>
          </w:tcPr>
          <w:p w14:paraId="3DDAC06D" w14:textId="76742258" w:rsidR="00096C89" w:rsidRPr="007765C2" w:rsidRDefault="0073738B" w:rsidP="005260D2">
            <w:pPr>
              <w:rPr>
                <w:rFonts w:ascii="Calibri" w:hAnsi="Calibri" w:cs="Calibri"/>
                <w:color w:val="000000"/>
                <w:sz w:val="20"/>
                <w:szCs w:val="20"/>
              </w:rPr>
            </w:pPr>
            <w:r>
              <w:rPr>
                <w:rFonts w:ascii="Calibri" w:hAnsi="Calibri" w:cs="Calibri"/>
                <w:color w:val="000000"/>
                <w:sz w:val="20"/>
                <w:szCs w:val="20"/>
              </w:rPr>
              <w:t>6%</w:t>
            </w:r>
          </w:p>
        </w:tc>
        <w:tc>
          <w:tcPr>
            <w:tcW w:w="1336" w:type="dxa"/>
            <w:vAlign w:val="bottom"/>
          </w:tcPr>
          <w:p w14:paraId="0C14F2F6" w14:textId="26BA92CC" w:rsidR="00096C89" w:rsidRPr="007765C2" w:rsidRDefault="0073738B" w:rsidP="005260D2">
            <w:pPr>
              <w:rPr>
                <w:color w:val="000000"/>
                <w:sz w:val="20"/>
                <w:szCs w:val="20"/>
              </w:rPr>
            </w:pPr>
            <w:r>
              <w:rPr>
                <w:color w:val="000000"/>
                <w:sz w:val="20"/>
                <w:szCs w:val="20"/>
              </w:rPr>
              <w:t>190,000</w:t>
            </w:r>
          </w:p>
        </w:tc>
        <w:tc>
          <w:tcPr>
            <w:tcW w:w="1336" w:type="dxa"/>
            <w:vAlign w:val="bottom"/>
          </w:tcPr>
          <w:p w14:paraId="1AB98749" w14:textId="11E5D4C6" w:rsidR="00096C89" w:rsidRPr="007765C2" w:rsidRDefault="0073738B" w:rsidP="005260D2">
            <w:pPr>
              <w:rPr>
                <w:rFonts w:ascii="Calibri" w:hAnsi="Calibri" w:cs="Calibri"/>
                <w:color w:val="000000"/>
                <w:sz w:val="20"/>
                <w:szCs w:val="20"/>
              </w:rPr>
            </w:pPr>
            <w:r>
              <w:rPr>
                <w:rFonts w:ascii="Calibri" w:hAnsi="Calibri" w:cs="Calibri"/>
                <w:color w:val="000000"/>
                <w:sz w:val="20"/>
                <w:szCs w:val="20"/>
              </w:rPr>
              <w:t>2%</w:t>
            </w:r>
          </w:p>
        </w:tc>
        <w:tc>
          <w:tcPr>
            <w:tcW w:w="1336" w:type="dxa"/>
            <w:vAlign w:val="bottom"/>
          </w:tcPr>
          <w:p w14:paraId="5A87ACAC" w14:textId="02829F39" w:rsidR="00096C89" w:rsidRPr="007765C2" w:rsidRDefault="0073738B" w:rsidP="005260D2">
            <w:pPr>
              <w:rPr>
                <w:color w:val="000000"/>
                <w:sz w:val="20"/>
                <w:szCs w:val="20"/>
              </w:rPr>
            </w:pPr>
            <w:r>
              <w:rPr>
                <w:color w:val="000000"/>
                <w:sz w:val="20"/>
                <w:szCs w:val="20"/>
              </w:rPr>
              <w:t>1,049,964</w:t>
            </w:r>
          </w:p>
        </w:tc>
        <w:tc>
          <w:tcPr>
            <w:tcW w:w="1336" w:type="dxa"/>
            <w:vAlign w:val="bottom"/>
          </w:tcPr>
          <w:p w14:paraId="21F82252" w14:textId="6F20E389" w:rsidR="00096C89" w:rsidRPr="007765C2" w:rsidRDefault="0073738B" w:rsidP="007765C2">
            <w:pPr>
              <w:keepNext/>
              <w:rPr>
                <w:rFonts w:ascii="Calibri" w:hAnsi="Calibri" w:cs="Calibri"/>
                <w:color w:val="000000"/>
                <w:sz w:val="20"/>
                <w:szCs w:val="20"/>
              </w:rPr>
            </w:pPr>
            <w:r>
              <w:rPr>
                <w:rFonts w:ascii="Calibri" w:hAnsi="Calibri" w:cs="Calibri"/>
                <w:color w:val="000000"/>
                <w:sz w:val="20"/>
                <w:szCs w:val="20"/>
              </w:rPr>
              <w:t>4%</w:t>
            </w:r>
          </w:p>
        </w:tc>
      </w:tr>
      <w:tr w:rsidR="0073738B" w14:paraId="430B3A84" w14:textId="77777777" w:rsidTr="007765C2">
        <w:trPr>
          <w:cantSplit/>
          <w:tblHeader/>
        </w:trPr>
        <w:tc>
          <w:tcPr>
            <w:tcW w:w="1335" w:type="dxa"/>
            <w:vAlign w:val="bottom"/>
          </w:tcPr>
          <w:p w14:paraId="11D7183D" w14:textId="751C85F0" w:rsidR="0073738B" w:rsidRDefault="0073738B" w:rsidP="005260D2">
            <w:pPr>
              <w:rPr>
                <w:b/>
                <w:bCs/>
                <w:color w:val="000000"/>
                <w:sz w:val="20"/>
                <w:szCs w:val="20"/>
              </w:rPr>
            </w:pPr>
            <w:r>
              <w:rPr>
                <w:b/>
                <w:bCs/>
                <w:color w:val="000000"/>
                <w:sz w:val="20"/>
                <w:szCs w:val="20"/>
              </w:rPr>
              <w:t>Total Revenue</w:t>
            </w:r>
          </w:p>
        </w:tc>
        <w:tc>
          <w:tcPr>
            <w:tcW w:w="1335" w:type="dxa"/>
            <w:vAlign w:val="bottom"/>
          </w:tcPr>
          <w:p w14:paraId="03C98F31" w14:textId="6A770B37" w:rsidR="0073738B" w:rsidRDefault="0073738B" w:rsidP="005260D2">
            <w:pPr>
              <w:rPr>
                <w:sz w:val="20"/>
                <w:szCs w:val="20"/>
              </w:rPr>
            </w:pPr>
            <w:r>
              <w:rPr>
                <w:sz w:val="20"/>
                <w:szCs w:val="20"/>
              </w:rPr>
              <w:t>14,238,202</w:t>
            </w:r>
          </w:p>
        </w:tc>
        <w:tc>
          <w:tcPr>
            <w:tcW w:w="1336" w:type="dxa"/>
            <w:vAlign w:val="bottom"/>
          </w:tcPr>
          <w:p w14:paraId="668709AA" w14:textId="46691806" w:rsidR="0073738B" w:rsidRDefault="0073738B" w:rsidP="005260D2">
            <w:pPr>
              <w:rPr>
                <w:rFonts w:ascii="Calibri" w:hAnsi="Calibri" w:cs="Calibri"/>
                <w:color w:val="000000"/>
                <w:sz w:val="20"/>
                <w:szCs w:val="20"/>
              </w:rPr>
            </w:pPr>
            <w:r>
              <w:rPr>
                <w:rFonts w:ascii="Calibri" w:hAnsi="Calibri" w:cs="Calibri"/>
                <w:color w:val="000000"/>
                <w:sz w:val="20"/>
                <w:szCs w:val="20"/>
              </w:rPr>
              <w:t>100%</w:t>
            </w:r>
          </w:p>
        </w:tc>
        <w:tc>
          <w:tcPr>
            <w:tcW w:w="1336" w:type="dxa"/>
            <w:vAlign w:val="bottom"/>
          </w:tcPr>
          <w:p w14:paraId="658AA7CE" w14:textId="21A7AFF0" w:rsidR="0073738B" w:rsidRDefault="0073738B" w:rsidP="005260D2">
            <w:pPr>
              <w:rPr>
                <w:color w:val="000000"/>
                <w:sz w:val="20"/>
                <w:szCs w:val="20"/>
              </w:rPr>
            </w:pPr>
            <w:r>
              <w:rPr>
                <w:color w:val="000000"/>
                <w:sz w:val="20"/>
                <w:szCs w:val="20"/>
              </w:rPr>
              <w:t>10,498,705</w:t>
            </w:r>
          </w:p>
        </w:tc>
        <w:tc>
          <w:tcPr>
            <w:tcW w:w="1336" w:type="dxa"/>
            <w:vAlign w:val="bottom"/>
          </w:tcPr>
          <w:p w14:paraId="13547D01" w14:textId="0F3D59F4" w:rsidR="0073738B" w:rsidRDefault="0073738B" w:rsidP="005260D2">
            <w:pPr>
              <w:rPr>
                <w:rFonts w:ascii="Calibri" w:hAnsi="Calibri" w:cs="Calibri"/>
                <w:color w:val="000000"/>
                <w:sz w:val="20"/>
                <w:szCs w:val="20"/>
              </w:rPr>
            </w:pPr>
            <w:r>
              <w:rPr>
                <w:rFonts w:ascii="Calibri" w:hAnsi="Calibri" w:cs="Calibri"/>
                <w:color w:val="000000"/>
                <w:sz w:val="20"/>
                <w:szCs w:val="20"/>
              </w:rPr>
              <w:t>100%</w:t>
            </w:r>
          </w:p>
        </w:tc>
        <w:tc>
          <w:tcPr>
            <w:tcW w:w="1336" w:type="dxa"/>
            <w:vAlign w:val="bottom"/>
          </w:tcPr>
          <w:p w14:paraId="2B4C49CF" w14:textId="54E59C48" w:rsidR="0073738B" w:rsidRDefault="0073738B" w:rsidP="005260D2">
            <w:pPr>
              <w:rPr>
                <w:color w:val="000000"/>
                <w:sz w:val="20"/>
                <w:szCs w:val="20"/>
              </w:rPr>
            </w:pPr>
            <w:r>
              <w:rPr>
                <w:color w:val="000000"/>
                <w:sz w:val="20"/>
                <w:szCs w:val="20"/>
              </w:rPr>
              <w:t>24,736,07</w:t>
            </w:r>
          </w:p>
        </w:tc>
        <w:tc>
          <w:tcPr>
            <w:tcW w:w="1336" w:type="dxa"/>
            <w:vAlign w:val="bottom"/>
          </w:tcPr>
          <w:p w14:paraId="28B857C0" w14:textId="106FC262" w:rsidR="0073738B" w:rsidRDefault="0073738B" w:rsidP="007765C2">
            <w:pPr>
              <w:keepNext/>
              <w:rPr>
                <w:rFonts w:ascii="Calibri" w:hAnsi="Calibri" w:cs="Calibri"/>
                <w:color w:val="000000"/>
                <w:sz w:val="20"/>
                <w:szCs w:val="20"/>
              </w:rPr>
            </w:pPr>
            <w:r>
              <w:rPr>
                <w:rFonts w:ascii="Calibri" w:hAnsi="Calibri" w:cs="Calibri"/>
                <w:color w:val="000000"/>
                <w:sz w:val="20"/>
                <w:szCs w:val="20"/>
              </w:rPr>
              <w:t>100%</w:t>
            </w:r>
          </w:p>
        </w:tc>
      </w:tr>
    </w:tbl>
    <w:p w14:paraId="29EC7043" w14:textId="4DF8DDF4" w:rsidR="00DD3C3B" w:rsidRDefault="007765C2" w:rsidP="007765C2">
      <w:pPr>
        <w:pStyle w:val="Caption"/>
      </w:pPr>
      <w:r>
        <w:t xml:space="preserve">Revenues </w:t>
      </w:r>
      <w:r>
        <w:fldChar w:fldCharType="begin"/>
      </w:r>
      <w:r>
        <w:instrText xml:space="preserve"> SEQ Revenues \* ARABIC </w:instrText>
      </w:r>
      <w:r>
        <w:fldChar w:fldCharType="separate"/>
      </w:r>
      <w:r>
        <w:rPr>
          <w:noProof/>
        </w:rPr>
        <w:t>1</w:t>
      </w:r>
      <w:r>
        <w:fldChar w:fldCharType="end"/>
      </w:r>
    </w:p>
    <w:p w14:paraId="34CBEEC2" w14:textId="77777777" w:rsidR="005260D2" w:rsidRDefault="005260D2"/>
    <w:p w14:paraId="45EABDB6" w14:textId="265F0409" w:rsidR="005260D2" w:rsidRDefault="005260D2">
      <w:r>
        <w:t>Operational Expenses</w:t>
      </w:r>
    </w:p>
    <w:p w14:paraId="6E9B86D7" w14:textId="77777777" w:rsidR="00DD3C3B" w:rsidRDefault="00DD3C3B"/>
    <w:tbl>
      <w:tblPr>
        <w:tblStyle w:val="TableGrid"/>
        <w:tblW w:w="0" w:type="auto"/>
        <w:tblLook w:val="04A0" w:firstRow="1" w:lastRow="0" w:firstColumn="1" w:lastColumn="0" w:noHBand="0" w:noVBand="1"/>
        <w:tblCaption w:val="Operational Expenses"/>
        <w:tblDescription w:val="Table shows types of operational expenses in the first column: Salaries and Benefits, Supplies, Facilities, Equipment, Other, and Total Expenses. The columns show ISD, Percentage of total ISD Operational Expenses, IESBVI, Percentage of total IESBVI."/>
      </w:tblPr>
      <w:tblGrid>
        <w:gridCol w:w="1382"/>
        <w:gridCol w:w="1463"/>
        <w:gridCol w:w="1211"/>
        <w:gridCol w:w="1268"/>
        <w:gridCol w:w="1260"/>
        <w:gridCol w:w="1383"/>
        <w:gridCol w:w="1383"/>
      </w:tblGrid>
      <w:tr w:rsidR="005260D2" w14:paraId="645C337B" w14:textId="77777777" w:rsidTr="007765C2">
        <w:trPr>
          <w:cantSplit/>
          <w:tblHeader/>
        </w:trPr>
        <w:tc>
          <w:tcPr>
            <w:tcW w:w="1404" w:type="dxa"/>
            <w:vAlign w:val="center"/>
          </w:tcPr>
          <w:p w14:paraId="2FED057D" w14:textId="673F0CD1" w:rsidR="005260D2" w:rsidRPr="007765C2" w:rsidRDefault="005260D2" w:rsidP="00BC3029">
            <w:pPr>
              <w:jc w:val="center"/>
              <w:rPr>
                <w:b/>
                <w:bCs/>
                <w:color w:val="000000"/>
                <w:sz w:val="20"/>
                <w:szCs w:val="20"/>
              </w:rPr>
            </w:pPr>
            <w:r w:rsidRPr="007765C2">
              <w:rPr>
                <w:b/>
                <w:bCs/>
                <w:color w:val="000000"/>
                <w:sz w:val="20"/>
                <w:szCs w:val="20"/>
              </w:rPr>
              <w:t>Type of Operational Expense</w:t>
            </w:r>
          </w:p>
        </w:tc>
        <w:tc>
          <w:tcPr>
            <w:tcW w:w="1561" w:type="dxa"/>
            <w:vAlign w:val="center"/>
          </w:tcPr>
          <w:p w14:paraId="32F868B9" w14:textId="313CD643" w:rsidR="005260D2" w:rsidRPr="007765C2" w:rsidRDefault="005260D2" w:rsidP="00BC3029">
            <w:pPr>
              <w:jc w:val="center"/>
              <w:rPr>
                <w:b/>
                <w:bCs/>
                <w:color w:val="000000"/>
                <w:sz w:val="20"/>
                <w:szCs w:val="20"/>
              </w:rPr>
            </w:pPr>
            <w:r w:rsidRPr="007765C2">
              <w:rPr>
                <w:b/>
                <w:bCs/>
                <w:color w:val="000000"/>
                <w:sz w:val="20"/>
                <w:szCs w:val="20"/>
              </w:rPr>
              <w:t>ISD</w:t>
            </w:r>
          </w:p>
        </w:tc>
        <w:tc>
          <w:tcPr>
            <w:tcW w:w="1007" w:type="dxa"/>
            <w:vAlign w:val="center"/>
          </w:tcPr>
          <w:p w14:paraId="7ED652A7" w14:textId="071DFCB6" w:rsidR="005260D2" w:rsidRPr="007765C2" w:rsidRDefault="005260D2" w:rsidP="00BC3029">
            <w:pPr>
              <w:jc w:val="center"/>
              <w:rPr>
                <w:rFonts w:ascii="Calibri" w:hAnsi="Calibri" w:cs="Calibri"/>
                <w:b/>
                <w:bCs/>
                <w:color w:val="000000"/>
                <w:sz w:val="20"/>
                <w:szCs w:val="20"/>
              </w:rPr>
            </w:pPr>
            <w:r w:rsidRPr="007765C2">
              <w:rPr>
                <w:rFonts w:ascii="Calibri" w:hAnsi="Calibri" w:cs="Calibri"/>
                <w:b/>
                <w:bCs/>
                <w:color w:val="000000"/>
                <w:sz w:val="20"/>
                <w:szCs w:val="20"/>
              </w:rPr>
              <w:t>Percentage of total ISD Operational Expenses</w:t>
            </w:r>
          </w:p>
        </w:tc>
        <w:tc>
          <w:tcPr>
            <w:tcW w:w="1288" w:type="dxa"/>
            <w:vAlign w:val="center"/>
          </w:tcPr>
          <w:p w14:paraId="7F2DBB83" w14:textId="0233FF71" w:rsidR="005260D2" w:rsidRPr="007765C2" w:rsidRDefault="005260D2" w:rsidP="00BC3029">
            <w:pPr>
              <w:jc w:val="center"/>
              <w:rPr>
                <w:b/>
                <w:bCs/>
                <w:color w:val="000000"/>
                <w:sz w:val="20"/>
                <w:szCs w:val="20"/>
              </w:rPr>
            </w:pPr>
            <w:r w:rsidRPr="007765C2">
              <w:rPr>
                <w:b/>
                <w:bCs/>
                <w:color w:val="000000"/>
                <w:sz w:val="20"/>
                <w:szCs w:val="20"/>
              </w:rPr>
              <w:t>IESBVI</w:t>
            </w:r>
          </w:p>
        </w:tc>
        <w:tc>
          <w:tcPr>
            <w:tcW w:w="1280" w:type="dxa"/>
            <w:vAlign w:val="center"/>
          </w:tcPr>
          <w:p w14:paraId="187F918B" w14:textId="39E1BF66" w:rsidR="005260D2" w:rsidRPr="007765C2" w:rsidRDefault="005260D2" w:rsidP="00BC3029">
            <w:pPr>
              <w:jc w:val="center"/>
              <w:rPr>
                <w:rFonts w:ascii="Calibri" w:hAnsi="Calibri" w:cs="Calibri"/>
                <w:b/>
                <w:bCs/>
                <w:color w:val="000000"/>
                <w:sz w:val="20"/>
                <w:szCs w:val="20"/>
              </w:rPr>
            </w:pPr>
            <w:r w:rsidRPr="007765C2">
              <w:rPr>
                <w:rFonts w:ascii="Calibri" w:hAnsi="Calibri" w:cs="Calibri"/>
                <w:b/>
                <w:bCs/>
                <w:color w:val="000000"/>
                <w:sz w:val="20"/>
                <w:szCs w:val="20"/>
              </w:rPr>
              <w:t>Percentage of total IESBVI Operational Expenses</w:t>
            </w:r>
          </w:p>
        </w:tc>
        <w:tc>
          <w:tcPr>
            <w:tcW w:w="1405" w:type="dxa"/>
            <w:vAlign w:val="center"/>
          </w:tcPr>
          <w:p w14:paraId="70FF4C32" w14:textId="6B2D5130" w:rsidR="005260D2" w:rsidRPr="007765C2" w:rsidRDefault="005260D2" w:rsidP="00BC3029">
            <w:pPr>
              <w:jc w:val="center"/>
              <w:rPr>
                <w:b/>
                <w:bCs/>
                <w:color w:val="000000"/>
                <w:sz w:val="20"/>
                <w:szCs w:val="20"/>
              </w:rPr>
            </w:pPr>
            <w:r w:rsidRPr="007765C2">
              <w:rPr>
                <w:b/>
                <w:bCs/>
                <w:color w:val="000000"/>
                <w:sz w:val="20"/>
                <w:szCs w:val="20"/>
              </w:rPr>
              <w:t>Total Operational Expenses</w:t>
            </w:r>
          </w:p>
        </w:tc>
        <w:tc>
          <w:tcPr>
            <w:tcW w:w="1405" w:type="dxa"/>
            <w:vAlign w:val="center"/>
          </w:tcPr>
          <w:p w14:paraId="0D1B1E0B" w14:textId="07A2063B" w:rsidR="005260D2" w:rsidRPr="007765C2" w:rsidRDefault="005260D2" w:rsidP="00BC3029">
            <w:pPr>
              <w:jc w:val="center"/>
              <w:rPr>
                <w:b/>
                <w:bCs/>
                <w:color w:val="000000"/>
                <w:sz w:val="20"/>
                <w:szCs w:val="20"/>
              </w:rPr>
            </w:pPr>
            <w:r w:rsidRPr="007765C2">
              <w:rPr>
                <w:b/>
                <w:bCs/>
                <w:color w:val="000000"/>
                <w:sz w:val="20"/>
                <w:szCs w:val="20"/>
              </w:rPr>
              <w:t>Percentage of Total Operational Expenses</w:t>
            </w:r>
          </w:p>
        </w:tc>
      </w:tr>
      <w:tr w:rsidR="005260D2" w14:paraId="20645CF9" w14:textId="5A14205E" w:rsidTr="007765C2">
        <w:trPr>
          <w:cantSplit/>
          <w:tblHeader/>
        </w:trPr>
        <w:tc>
          <w:tcPr>
            <w:tcW w:w="1404" w:type="dxa"/>
            <w:vAlign w:val="center"/>
          </w:tcPr>
          <w:p w14:paraId="5FFC7C65" w14:textId="59BF27E0" w:rsidR="005260D2" w:rsidRPr="007765C2" w:rsidRDefault="005260D2" w:rsidP="00BC3029">
            <w:pPr>
              <w:jc w:val="center"/>
              <w:rPr>
                <w:b/>
                <w:bCs/>
                <w:sz w:val="20"/>
                <w:szCs w:val="20"/>
              </w:rPr>
            </w:pPr>
            <w:r w:rsidRPr="007765C2">
              <w:rPr>
                <w:b/>
                <w:bCs/>
                <w:color w:val="000000"/>
                <w:sz w:val="20"/>
                <w:szCs w:val="20"/>
              </w:rPr>
              <w:t>Salaries and Benefits</w:t>
            </w:r>
          </w:p>
        </w:tc>
        <w:tc>
          <w:tcPr>
            <w:tcW w:w="1561" w:type="dxa"/>
            <w:vAlign w:val="center"/>
          </w:tcPr>
          <w:p w14:paraId="743D2081" w14:textId="156999BD" w:rsidR="005260D2" w:rsidRPr="007765C2" w:rsidRDefault="005260D2" w:rsidP="00BC3029">
            <w:pPr>
              <w:jc w:val="center"/>
              <w:rPr>
                <w:sz w:val="20"/>
                <w:szCs w:val="20"/>
              </w:rPr>
            </w:pPr>
            <w:r w:rsidRPr="007765C2">
              <w:rPr>
                <w:color w:val="000000"/>
                <w:sz w:val="20"/>
                <w:szCs w:val="20"/>
              </w:rPr>
              <w:t>11,706,438</w:t>
            </w:r>
          </w:p>
        </w:tc>
        <w:tc>
          <w:tcPr>
            <w:tcW w:w="1007" w:type="dxa"/>
            <w:vAlign w:val="center"/>
          </w:tcPr>
          <w:p w14:paraId="6814F1B1" w14:textId="0F3BA794" w:rsidR="005260D2" w:rsidRPr="007765C2" w:rsidRDefault="005260D2" w:rsidP="00BC3029">
            <w:pPr>
              <w:jc w:val="center"/>
              <w:rPr>
                <w:sz w:val="20"/>
                <w:szCs w:val="20"/>
              </w:rPr>
            </w:pPr>
            <w:r w:rsidRPr="007765C2">
              <w:rPr>
                <w:rFonts w:ascii="Calibri" w:hAnsi="Calibri" w:cs="Calibri"/>
                <w:color w:val="000000"/>
                <w:sz w:val="20"/>
                <w:szCs w:val="20"/>
              </w:rPr>
              <w:t>82%</w:t>
            </w:r>
          </w:p>
        </w:tc>
        <w:tc>
          <w:tcPr>
            <w:tcW w:w="1288" w:type="dxa"/>
            <w:vAlign w:val="center"/>
          </w:tcPr>
          <w:p w14:paraId="068904AC" w14:textId="7E9889EA" w:rsidR="005260D2" w:rsidRPr="007765C2" w:rsidRDefault="005260D2" w:rsidP="00BC3029">
            <w:pPr>
              <w:jc w:val="center"/>
              <w:rPr>
                <w:sz w:val="20"/>
                <w:szCs w:val="20"/>
              </w:rPr>
            </w:pPr>
            <w:r w:rsidRPr="007765C2">
              <w:rPr>
                <w:color w:val="000000"/>
                <w:sz w:val="20"/>
                <w:szCs w:val="20"/>
              </w:rPr>
              <w:t>8,909,640</w:t>
            </w:r>
          </w:p>
        </w:tc>
        <w:tc>
          <w:tcPr>
            <w:tcW w:w="1280" w:type="dxa"/>
            <w:vAlign w:val="center"/>
          </w:tcPr>
          <w:p w14:paraId="5184E724" w14:textId="3CEFDC34" w:rsidR="005260D2" w:rsidRPr="007765C2" w:rsidRDefault="005260D2" w:rsidP="00BC3029">
            <w:pPr>
              <w:jc w:val="center"/>
              <w:rPr>
                <w:sz w:val="20"/>
                <w:szCs w:val="20"/>
              </w:rPr>
            </w:pPr>
            <w:r w:rsidRPr="007765C2">
              <w:rPr>
                <w:rFonts w:ascii="Calibri" w:hAnsi="Calibri" w:cs="Calibri"/>
                <w:color w:val="000000"/>
                <w:sz w:val="20"/>
                <w:szCs w:val="20"/>
              </w:rPr>
              <w:t>85%</w:t>
            </w:r>
          </w:p>
        </w:tc>
        <w:tc>
          <w:tcPr>
            <w:tcW w:w="1405" w:type="dxa"/>
            <w:vAlign w:val="center"/>
          </w:tcPr>
          <w:p w14:paraId="72A433CE" w14:textId="58DF9D04" w:rsidR="005260D2" w:rsidRPr="007765C2" w:rsidRDefault="005260D2" w:rsidP="00BC3029">
            <w:pPr>
              <w:jc w:val="center"/>
              <w:rPr>
                <w:sz w:val="20"/>
                <w:szCs w:val="20"/>
              </w:rPr>
            </w:pPr>
            <w:r w:rsidRPr="007765C2">
              <w:rPr>
                <w:color w:val="000000"/>
                <w:sz w:val="20"/>
                <w:szCs w:val="20"/>
              </w:rPr>
              <w:t>20,616,078</w:t>
            </w:r>
          </w:p>
        </w:tc>
        <w:tc>
          <w:tcPr>
            <w:tcW w:w="1405" w:type="dxa"/>
            <w:vAlign w:val="center"/>
          </w:tcPr>
          <w:p w14:paraId="512A9262" w14:textId="059D15CE" w:rsidR="005260D2" w:rsidRPr="007765C2" w:rsidRDefault="005260D2" w:rsidP="00BC3029">
            <w:pPr>
              <w:jc w:val="center"/>
              <w:rPr>
                <w:color w:val="000000"/>
                <w:sz w:val="20"/>
                <w:szCs w:val="20"/>
              </w:rPr>
            </w:pPr>
            <w:r w:rsidRPr="007765C2">
              <w:rPr>
                <w:color w:val="000000"/>
                <w:sz w:val="20"/>
                <w:szCs w:val="20"/>
              </w:rPr>
              <w:t>83</w:t>
            </w:r>
          </w:p>
        </w:tc>
      </w:tr>
      <w:tr w:rsidR="005260D2" w14:paraId="2240E688" w14:textId="693EAA71" w:rsidTr="007765C2">
        <w:trPr>
          <w:cantSplit/>
          <w:tblHeader/>
        </w:trPr>
        <w:tc>
          <w:tcPr>
            <w:tcW w:w="1404" w:type="dxa"/>
            <w:vAlign w:val="center"/>
          </w:tcPr>
          <w:p w14:paraId="454F8EF4" w14:textId="15979266" w:rsidR="005260D2" w:rsidRPr="007765C2" w:rsidRDefault="005260D2" w:rsidP="00BC3029">
            <w:pPr>
              <w:jc w:val="center"/>
              <w:rPr>
                <w:b/>
                <w:bCs/>
                <w:sz w:val="20"/>
                <w:szCs w:val="20"/>
              </w:rPr>
            </w:pPr>
            <w:r w:rsidRPr="007765C2">
              <w:rPr>
                <w:b/>
                <w:bCs/>
                <w:color w:val="000000"/>
                <w:sz w:val="20"/>
                <w:szCs w:val="20"/>
              </w:rPr>
              <w:t>Supplies</w:t>
            </w:r>
          </w:p>
        </w:tc>
        <w:tc>
          <w:tcPr>
            <w:tcW w:w="1561" w:type="dxa"/>
            <w:vAlign w:val="center"/>
          </w:tcPr>
          <w:p w14:paraId="182BFFF5" w14:textId="72D814C4" w:rsidR="005260D2" w:rsidRPr="007765C2" w:rsidRDefault="005260D2" w:rsidP="00BC3029">
            <w:pPr>
              <w:jc w:val="center"/>
              <w:rPr>
                <w:sz w:val="20"/>
                <w:szCs w:val="20"/>
              </w:rPr>
            </w:pPr>
            <w:r w:rsidRPr="007765C2">
              <w:rPr>
                <w:color w:val="000000"/>
                <w:sz w:val="20"/>
                <w:szCs w:val="20"/>
              </w:rPr>
              <w:t>1,791,558</w:t>
            </w:r>
          </w:p>
        </w:tc>
        <w:tc>
          <w:tcPr>
            <w:tcW w:w="1007" w:type="dxa"/>
            <w:vAlign w:val="center"/>
          </w:tcPr>
          <w:p w14:paraId="6B072142" w14:textId="66A18881" w:rsidR="005260D2" w:rsidRPr="007765C2" w:rsidRDefault="005260D2" w:rsidP="00BC3029">
            <w:pPr>
              <w:jc w:val="center"/>
              <w:rPr>
                <w:sz w:val="20"/>
                <w:szCs w:val="20"/>
              </w:rPr>
            </w:pPr>
            <w:r w:rsidRPr="007765C2">
              <w:rPr>
                <w:rFonts w:ascii="Calibri" w:hAnsi="Calibri" w:cs="Calibri"/>
                <w:color w:val="000000"/>
                <w:sz w:val="20"/>
                <w:szCs w:val="20"/>
              </w:rPr>
              <w:t>13%</w:t>
            </w:r>
          </w:p>
        </w:tc>
        <w:tc>
          <w:tcPr>
            <w:tcW w:w="1288" w:type="dxa"/>
            <w:vAlign w:val="center"/>
          </w:tcPr>
          <w:p w14:paraId="0B93D738" w14:textId="5DFEACE1" w:rsidR="005260D2" w:rsidRPr="007765C2" w:rsidRDefault="005260D2" w:rsidP="00BC3029">
            <w:pPr>
              <w:jc w:val="center"/>
              <w:rPr>
                <w:sz w:val="20"/>
                <w:szCs w:val="20"/>
              </w:rPr>
            </w:pPr>
            <w:r w:rsidRPr="007765C2">
              <w:rPr>
                <w:color w:val="000000"/>
                <w:sz w:val="20"/>
                <w:szCs w:val="20"/>
              </w:rPr>
              <w:t>1,457,565</w:t>
            </w:r>
          </w:p>
        </w:tc>
        <w:tc>
          <w:tcPr>
            <w:tcW w:w="1280" w:type="dxa"/>
            <w:vAlign w:val="center"/>
          </w:tcPr>
          <w:p w14:paraId="41B42495" w14:textId="0E3B22C9" w:rsidR="005260D2" w:rsidRPr="007765C2" w:rsidRDefault="005260D2" w:rsidP="00BC3029">
            <w:pPr>
              <w:jc w:val="center"/>
              <w:rPr>
                <w:sz w:val="20"/>
                <w:szCs w:val="20"/>
              </w:rPr>
            </w:pPr>
            <w:r w:rsidRPr="007765C2">
              <w:rPr>
                <w:rFonts w:ascii="Calibri" w:hAnsi="Calibri" w:cs="Calibri"/>
                <w:color w:val="000000"/>
                <w:sz w:val="20"/>
                <w:szCs w:val="20"/>
              </w:rPr>
              <w:t>14%</w:t>
            </w:r>
          </w:p>
        </w:tc>
        <w:tc>
          <w:tcPr>
            <w:tcW w:w="1405" w:type="dxa"/>
            <w:vAlign w:val="center"/>
          </w:tcPr>
          <w:p w14:paraId="36EC4C89" w14:textId="0DB233D7" w:rsidR="005260D2" w:rsidRPr="007765C2" w:rsidRDefault="005260D2" w:rsidP="00BC3029">
            <w:pPr>
              <w:jc w:val="center"/>
              <w:rPr>
                <w:sz w:val="20"/>
                <w:szCs w:val="20"/>
              </w:rPr>
            </w:pPr>
            <w:r w:rsidRPr="007765C2">
              <w:rPr>
                <w:color w:val="000000"/>
                <w:sz w:val="20"/>
                <w:szCs w:val="20"/>
              </w:rPr>
              <w:t>3,249,123</w:t>
            </w:r>
          </w:p>
        </w:tc>
        <w:tc>
          <w:tcPr>
            <w:tcW w:w="1405" w:type="dxa"/>
            <w:vAlign w:val="center"/>
          </w:tcPr>
          <w:p w14:paraId="241DA006" w14:textId="304B79AB" w:rsidR="005260D2" w:rsidRPr="007765C2" w:rsidRDefault="005260D2" w:rsidP="00BC3029">
            <w:pPr>
              <w:jc w:val="center"/>
              <w:rPr>
                <w:color w:val="000000"/>
                <w:sz w:val="20"/>
                <w:szCs w:val="20"/>
              </w:rPr>
            </w:pPr>
            <w:r w:rsidRPr="007765C2">
              <w:rPr>
                <w:color w:val="000000"/>
                <w:sz w:val="20"/>
                <w:szCs w:val="20"/>
              </w:rPr>
              <w:t>13</w:t>
            </w:r>
          </w:p>
        </w:tc>
      </w:tr>
      <w:tr w:rsidR="005260D2" w14:paraId="32AC12E3" w14:textId="1F90BA08" w:rsidTr="007765C2">
        <w:trPr>
          <w:cantSplit/>
          <w:tblHeader/>
        </w:trPr>
        <w:tc>
          <w:tcPr>
            <w:tcW w:w="1404" w:type="dxa"/>
            <w:vAlign w:val="center"/>
          </w:tcPr>
          <w:p w14:paraId="2ED8C32D" w14:textId="087B8923" w:rsidR="005260D2" w:rsidRPr="007765C2" w:rsidRDefault="005260D2" w:rsidP="00BC3029">
            <w:pPr>
              <w:jc w:val="center"/>
              <w:rPr>
                <w:b/>
                <w:bCs/>
                <w:sz w:val="20"/>
                <w:szCs w:val="20"/>
              </w:rPr>
            </w:pPr>
            <w:r w:rsidRPr="007765C2">
              <w:rPr>
                <w:b/>
                <w:bCs/>
                <w:color w:val="000000"/>
                <w:sz w:val="20"/>
                <w:szCs w:val="20"/>
              </w:rPr>
              <w:t>Facilities</w:t>
            </w:r>
          </w:p>
        </w:tc>
        <w:tc>
          <w:tcPr>
            <w:tcW w:w="1561" w:type="dxa"/>
            <w:vAlign w:val="center"/>
          </w:tcPr>
          <w:p w14:paraId="4CC47209" w14:textId="0648C8E1" w:rsidR="005260D2" w:rsidRPr="007765C2" w:rsidRDefault="005260D2" w:rsidP="00BC3029">
            <w:pPr>
              <w:jc w:val="center"/>
              <w:rPr>
                <w:sz w:val="20"/>
                <w:szCs w:val="20"/>
              </w:rPr>
            </w:pPr>
            <w:r w:rsidRPr="007765C2">
              <w:rPr>
                <w:color w:val="000000"/>
                <w:sz w:val="20"/>
                <w:szCs w:val="20"/>
              </w:rPr>
              <w:t>661,766</w:t>
            </w:r>
          </w:p>
        </w:tc>
        <w:tc>
          <w:tcPr>
            <w:tcW w:w="1007" w:type="dxa"/>
            <w:vAlign w:val="center"/>
          </w:tcPr>
          <w:p w14:paraId="27579132" w14:textId="314F05F4" w:rsidR="005260D2" w:rsidRPr="007765C2" w:rsidRDefault="005260D2" w:rsidP="00BC3029">
            <w:pPr>
              <w:jc w:val="center"/>
              <w:rPr>
                <w:sz w:val="20"/>
                <w:szCs w:val="20"/>
              </w:rPr>
            </w:pPr>
            <w:r w:rsidRPr="007765C2">
              <w:rPr>
                <w:rFonts w:ascii="Calibri" w:hAnsi="Calibri" w:cs="Calibri"/>
                <w:color w:val="000000"/>
                <w:sz w:val="20"/>
                <w:szCs w:val="20"/>
              </w:rPr>
              <w:t>5%</w:t>
            </w:r>
          </w:p>
        </w:tc>
        <w:tc>
          <w:tcPr>
            <w:tcW w:w="1288" w:type="dxa"/>
            <w:vAlign w:val="center"/>
          </w:tcPr>
          <w:p w14:paraId="656A0168" w14:textId="3FA42D8B" w:rsidR="005260D2" w:rsidRPr="007765C2" w:rsidRDefault="005260D2" w:rsidP="00BC3029">
            <w:pPr>
              <w:jc w:val="center"/>
              <w:rPr>
                <w:sz w:val="20"/>
                <w:szCs w:val="20"/>
              </w:rPr>
            </w:pPr>
            <w:r w:rsidRPr="007765C2">
              <w:rPr>
                <w:color w:val="000000"/>
                <w:sz w:val="20"/>
                <w:szCs w:val="20"/>
              </w:rPr>
              <w:t>85,000</w:t>
            </w:r>
          </w:p>
        </w:tc>
        <w:tc>
          <w:tcPr>
            <w:tcW w:w="1280" w:type="dxa"/>
            <w:vAlign w:val="center"/>
          </w:tcPr>
          <w:p w14:paraId="2EC4CF3E" w14:textId="1874076A" w:rsidR="005260D2" w:rsidRPr="007765C2" w:rsidRDefault="005260D2" w:rsidP="00BC3029">
            <w:pPr>
              <w:jc w:val="center"/>
              <w:rPr>
                <w:sz w:val="20"/>
                <w:szCs w:val="20"/>
              </w:rPr>
            </w:pPr>
            <w:r w:rsidRPr="007765C2">
              <w:rPr>
                <w:rFonts w:ascii="Calibri" w:hAnsi="Calibri" w:cs="Calibri"/>
                <w:color w:val="000000"/>
                <w:sz w:val="20"/>
                <w:szCs w:val="20"/>
              </w:rPr>
              <w:t>1%</w:t>
            </w:r>
          </w:p>
        </w:tc>
        <w:tc>
          <w:tcPr>
            <w:tcW w:w="1405" w:type="dxa"/>
            <w:vAlign w:val="center"/>
          </w:tcPr>
          <w:p w14:paraId="4F4F5CE8" w14:textId="364D1FC9" w:rsidR="005260D2" w:rsidRPr="007765C2" w:rsidRDefault="005260D2" w:rsidP="00BC3029">
            <w:pPr>
              <w:jc w:val="center"/>
              <w:rPr>
                <w:sz w:val="20"/>
                <w:szCs w:val="20"/>
              </w:rPr>
            </w:pPr>
            <w:r w:rsidRPr="007765C2">
              <w:rPr>
                <w:color w:val="000000"/>
                <w:sz w:val="20"/>
                <w:szCs w:val="20"/>
              </w:rPr>
              <w:t>746,766</w:t>
            </w:r>
          </w:p>
        </w:tc>
        <w:tc>
          <w:tcPr>
            <w:tcW w:w="1405" w:type="dxa"/>
            <w:vAlign w:val="center"/>
          </w:tcPr>
          <w:p w14:paraId="0E3D930F" w14:textId="7E77C9D5" w:rsidR="005260D2" w:rsidRPr="007765C2" w:rsidRDefault="005260D2" w:rsidP="00BC3029">
            <w:pPr>
              <w:jc w:val="center"/>
              <w:rPr>
                <w:color w:val="000000"/>
                <w:sz w:val="20"/>
                <w:szCs w:val="20"/>
              </w:rPr>
            </w:pPr>
            <w:r w:rsidRPr="007765C2">
              <w:rPr>
                <w:color w:val="000000"/>
                <w:sz w:val="20"/>
                <w:szCs w:val="20"/>
              </w:rPr>
              <w:t>3</w:t>
            </w:r>
          </w:p>
        </w:tc>
      </w:tr>
      <w:tr w:rsidR="005260D2" w14:paraId="6DD97AE5" w14:textId="6B3F6B3B" w:rsidTr="007765C2">
        <w:trPr>
          <w:cantSplit/>
          <w:tblHeader/>
        </w:trPr>
        <w:tc>
          <w:tcPr>
            <w:tcW w:w="1404" w:type="dxa"/>
            <w:vAlign w:val="center"/>
          </w:tcPr>
          <w:p w14:paraId="0E5D69CE" w14:textId="47C9374A" w:rsidR="005260D2" w:rsidRPr="007765C2" w:rsidRDefault="005260D2" w:rsidP="00BC3029">
            <w:pPr>
              <w:jc w:val="center"/>
              <w:rPr>
                <w:b/>
                <w:bCs/>
                <w:sz w:val="20"/>
                <w:szCs w:val="20"/>
              </w:rPr>
            </w:pPr>
            <w:r w:rsidRPr="007765C2">
              <w:rPr>
                <w:b/>
                <w:bCs/>
                <w:color w:val="000000"/>
                <w:sz w:val="20"/>
                <w:szCs w:val="20"/>
              </w:rPr>
              <w:t>Equipment</w:t>
            </w:r>
          </w:p>
        </w:tc>
        <w:tc>
          <w:tcPr>
            <w:tcW w:w="1561" w:type="dxa"/>
            <w:vAlign w:val="center"/>
          </w:tcPr>
          <w:p w14:paraId="30B0C76C" w14:textId="0D5AE07C" w:rsidR="005260D2" w:rsidRPr="007765C2" w:rsidRDefault="005260D2" w:rsidP="00BC3029">
            <w:pPr>
              <w:jc w:val="center"/>
              <w:rPr>
                <w:sz w:val="20"/>
                <w:szCs w:val="20"/>
              </w:rPr>
            </w:pPr>
            <w:r w:rsidRPr="007765C2">
              <w:rPr>
                <w:color w:val="000000"/>
                <w:sz w:val="20"/>
                <w:szCs w:val="20"/>
              </w:rPr>
              <w:t>32,000</w:t>
            </w:r>
          </w:p>
        </w:tc>
        <w:tc>
          <w:tcPr>
            <w:tcW w:w="1007" w:type="dxa"/>
            <w:vAlign w:val="center"/>
          </w:tcPr>
          <w:p w14:paraId="08DF4DEF" w14:textId="7262BD46" w:rsidR="005260D2" w:rsidRPr="007765C2" w:rsidRDefault="005260D2" w:rsidP="00BC3029">
            <w:pPr>
              <w:jc w:val="center"/>
              <w:rPr>
                <w:sz w:val="20"/>
                <w:szCs w:val="20"/>
              </w:rPr>
            </w:pPr>
            <w:r w:rsidRPr="007765C2">
              <w:rPr>
                <w:rFonts w:ascii="Calibri" w:hAnsi="Calibri" w:cs="Calibri"/>
                <w:color w:val="000000"/>
                <w:sz w:val="20"/>
                <w:szCs w:val="20"/>
              </w:rPr>
              <w:t>0%</w:t>
            </w:r>
          </w:p>
        </w:tc>
        <w:tc>
          <w:tcPr>
            <w:tcW w:w="1288" w:type="dxa"/>
            <w:vAlign w:val="center"/>
          </w:tcPr>
          <w:p w14:paraId="79BD792D" w14:textId="51042A87" w:rsidR="005260D2" w:rsidRPr="007765C2" w:rsidRDefault="005260D2" w:rsidP="00BC3029">
            <w:pPr>
              <w:jc w:val="center"/>
              <w:rPr>
                <w:sz w:val="20"/>
                <w:szCs w:val="20"/>
              </w:rPr>
            </w:pPr>
            <w:r w:rsidRPr="007765C2">
              <w:rPr>
                <w:color w:val="000000"/>
                <w:sz w:val="20"/>
                <w:szCs w:val="20"/>
              </w:rPr>
              <w:t>-</w:t>
            </w:r>
          </w:p>
        </w:tc>
        <w:tc>
          <w:tcPr>
            <w:tcW w:w="1280" w:type="dxa"/>
            <w:vAlign w:val="center"/>
          </w:tcPr>
          <w:p w14:paraId="74DEABC1" w14:textId="27E05FE0" w:rsidR="005260D2" w:rsidRPr="007765C2" w:rsidRDefault="005260D2" w:rsidP="00BC3029">
            <w:pPr>
              <w:jc w:val="center"/>
              <w:rPr>
                <w:sz w:val="20"/>
                <w:szCs w:val="20"/>
              </w:rPr>
            </w:pPr>
            <w:r w:rsidRPr="007765C2">
              <w:rPr>
                <w:rFonts w:ascii="Calibri" w:hAnsi="Calibri" w:cs="Calibri"/>
                <w:color w:val="000000"/>
                <w:sz w:val="20"/>
                <w:szCs w:val="20"/>
              </w:rPr>
              <w:t>0%</w:t>
            </w:r>
          </w:p>
        </w:tc>
        <w:tc>
          <w:tcPr>
            <w:tcW w:w="1405" w:type="dxa"/>
            <w:vAlign w:val="center"/>
          </w:tcPr>
          <w:p w14:paraId="1D70076C" w14:textId="65CADE41" w:rsidR="005260D2" w:rsidRPr="007765C2" w:rsidRDefault="005260D2" w:rsidP="00BC3029">
            <w:pPr>
              <w:jc w:val="center"/>
              <w:rPr>
                <w:sz w:val="20"/>
                <w:szCs w:val="20"/>
              </w:rPr>
            </w:pPr>
            <w:r w:rsidRPr="007765C2">
              <w:rPr>
                <w:color w:val="000000"/>
                <w:sz w:val="20"/>
                <w:szCs w:val="20"/>
              </w:rPr>
              <w:t>32,000</w:t>
            </w:r>
          </w:p>
        </w:tc>
        <w:tc>
          <w:tcPr>
            <w:tcW w:w="1405" w:type="dxa"/>
            <w:vAlign w:val="center"/>
          </w:tcPr>
          <w:p w14:paraId="7B01ACE4" w14:textId="3AB6593B" w:rsidR="005260D2" w:rsidRPr="007765C2" w:rsidRDefault="005260D2" w:rsidP="00BC3029">
            <w:pPr>
              <w:jc w:val="center"/>
              <w:rPr>
                <w:color w:val="000000"/>
                <w:sz w:val="20"/>
                <w:szCs w:val="20"/>
              </w:rPr>
            </w:pPr>
            <w:r w:rsidRPr="007765C2">
              <w:rPr>
                <w:color w:val="000000"/>
                <w:sz w:val="20"/>
                <w:szCs w:val="20"/>
              </w:rPr>
              <w:t>0</w:t>
            </w:r>
          </w:p>
        </w:tc>
      </w:tr>
      <w:tr w:rsidR="005260D2" w14:paraId="116839CE" w14:textId="0A52ADC7" w:rsidTr="007765C2">
        <w:trPr>
          <w:cantSplit/>
          <w:tblHeader/>
        </w:trPr>
        <w:tc>
          <w:tcPr>
            <w:tcW w:w="1404" w:type="dxa"/>
            <w:vAlign w:val="center"/>
          </w:tcPr>
          <w:p w14:paraId="4B4C9A07" w14:textId="32BD4133" w:rsidR="005260D2" w:rsidRPr="007765C2" w:rsidRDefault="005260D2" w:rsidP="00BC3029">
            <w:pPr>
              <w:jc w:val="center"/>
              <w:rPr>
                <w:b/>
                <w:bCs/>
                <w:sz w:val="20"/>
                <w:szCs w:val="20"/>
              </w:rPr>
            </w:pPr>
            <w:r w:rsidRPr="007765C2">
              <w:rPr>
                <w:b/>
                <w:bCs/>
                <w:color w:val="000000"/>
                <w:sz w:val="20"/>
                <w:szCs w:val="20"/>
              </w:rPr>
              <w:t>Other</w:t>
            </w:r>
          </w:p>
        </w:tc>
        <w:tc>
          <w:tcPr>
            <w:tcW w:w="1561" w:type="dxa"/>
            <w:vAlign w:val="center"/>
          </w:tcPr>
          <w:p w14:paraId="54BDDB87" w14:textId="217B1659" w:rsidR="005260D2" w:rsidRPr="007765C2" w:rsidRDefault="005260D2" w:rsidP="00BC3029">
            <w:pPr>
              <w:jc w:val="center"/>
              <w:rPr>
                <w:sz w:val="20"/>
                <w:szCs w:val="20"/>
              </w:rPr>
            </w:pPr>
            <w:r w:rsidRPr="007765C2">
              <w:rPr>
                <w:color w:val="000000"/>
                <w:sz w:val="20"/>
                <w:szCs w:val="20"/>
              </w:rPr>
              <w:t>46,440</w:t>
            </w:r>
          </w:p>
        </w:tc>
        <w:tc>
          <w:tcPr>
            <w:tcW w:w="1007" w:type="dxa"/>
            <w:vAlign w:val="center"/>
          </w:tcPr>
          <w:p w14:paraId="129BB3D8" w14:textId="0A151F7D" w:rsidR="005260D2" w:rsidRPr="007765C2" w:rsidRDefault="005260D2" w:rsidP="00BC3029">
            <w:pPr>
              <w:jc w:val="center"/>
              <w:rPr>
                <w:sz w:val="20"/>
                <w:szCs w:val="20"/>
              </w:rPr>
            </w:pPr>
            <w:r w:rsidRPr="007765C2">
              <w:rPr>
                <w:rFonts w:ascii="Calibri" w:hAnsi="Calibri" w:cs="Calibri"/>
                <w:color w:val="000000"/>
                <w:sz w:val="20"/>
                <w:szCs w:val="20"/>
              </w:rPr>
              <w:t>0%</w:t>
            </w:r>
          </w:p>
        </w:tc>
        <w:tc>
          <w:tcPr>
            <w:tcW w:w="1288" w:type="dxa"/>
            <w:vAlign w:val="center"/>
          </w:tcPr>
          <w:p w14:paraId="7A4F2B39" w14:textId="6765B901" w:rsidR="005260D2" w:rsidRPr="007765C2" w:rsidRDefault="005260D2" w:rsidP="00BC3029">
            <w:pPr>
              <w:jc w:val="center"/>
              <w:rPr>
                <w:sz w:val="20"/>
                <w:szCs w:val="20"/>
              </w:rPr>
            </w:pPr>
            <w:r w:rsidRPr="007765C2">
              <w:rPr>
                <w:color w:val="000000"/>
                <w:sz w:val="20"/>
                <w:szCs w:val="20"/>
              </w:rPr>
              <w:t>46,500</w:t>
            </w:r>
          </w:p>
        </w:tc>
        <w:tc>
          <w:tcPr>
            <w:tcW w:w="1280" w:type="dxa"/>
            <w:vAlign w:val="center"/>
          </w:tcPr>
          <w:p w14:paraId="4A3A2E08" w14:textId="447736DA" w:rsidR="005260D2" w:rsidRPr="007765C2" w:rsidRDefault="005260D2" w:rsidP="00BC3029">
            <w:pPr>
              <w:jc w:val="center"/>
              <w:rPr>
                <w:sz w:val="20"/>
                <w:szCs w:val="20"/>
              </w:rPr>
            </w:pPr>
            <w:r w:rsidRPr="007765C2">
              <w:rPr>
                <w:rFonts w:ascii="Calibri" w:hAnsi="Calibri" w:cs="Calibri"/>
                <w:color w:val="000000"/>
                <w:sz w:val="20"/>
                <w:szCs w:val="20"/>
              </w:rPr>
              <w:t>0%</w:t>
            </w:r>
          </w:p>
        </w:tc>
        <w:tc>
          <w:tcPr>
            <w:tcW w:w="1405" w:type="dxa"/>
            <w:vAlign w:val="center"/>
          </w:tcPr>
          <w:p w14:paraId="3504BA34" w14:textId="2C801AB8" w:rsidR="005260D2" w:rsidRPr="007765C2" w:rsidRDefault="005260D2" w:rsidP="00BC3029">
            <w:pPr>
              <w:jc w:val="center"/>
              <w:rPr>
                <w:sz w:val="20"/>
                <w:szCs w:val="20"/>
              </w:rPr>
            </w:pPr>
            <w:r w:rsidRPr="007765C2">
              <w:rPr>
                <w:color w:val="000000"/>
                <w:sz w:val="20"/>
                <w:szCs w:val="20"/>
              </w:rPr>
              <w:t>92,940</w:t>
            </w:r>
          </w:p>
        </w:tc>
        <w:tc>
          <w:tcPr>
            <w:tcW w:w="1405" w:type="dxa"/>
            <w:vAlign w:val="center"/>
          </w:tcPr>
          <w:p w14:paraId="20E16404" w14:textId="6DD5B60F" w:rsidR="005260D2" w:rsidRPr="007765C2" w:rsidRDefault="005260D2" w:rsidP="00BC3029">
            <w:pPr>
              <w:jc w:val="center"/>
              <w:rPr>
                <w:color w:val="000000"/>
                <w:sz w:val="20"/>
                <w:szCs w:val="20"/>
              </w:rPr>
            </w:pPr>
            <w:r w:rsidRPr="007765C2">
              <w:rPr>
                <w:color w:val="000000"/>
                <w:sz w:val="20"/>
                <w:szCs w:val="20"/>
              </w:rPr>
              <w:t>0</w:t>
            </w:r>
          </w:p>
        </w:tc>
      </w:tr>
      <w:tr w:rsidR="005260D2" w14:paraId="46631198" w14:textId="01C6B431" w:rsidTr="007765C2">
        <w:trPr>
          <w:cantSplit/>
          <w:tblHeader/>
        </w:trPr>
        <w:tc>
          <w:tcPr>
            <w:tcW w:w="1404" w:type="dxa"/>
            <w:vAlign w:val="center"/>
          </w:tcPr>
          <w:p w14:paraId="667E504D" w14:textId="498DD04C" w:rsidR="005260D2" w:rsidRPr="007765C2" w:rsidRDefault="005260D2" w:rsidP="00BC3029">
            <w:pPr>
              <w:jc w:val="center"/>
              <w:rPr>
                <w:b/>
                <w:bCs/>
                <w:sz w:val="20"/>
                <w:szCs w:val="20"/>
              </w:rPr>
            </w:pPr>
            <w:r w:rsidRPr="007765C2">
              <w:rPr>
                <w:b/>
                <w:bCs/>
                <w:color w:val="000000"/>
                <w:sz w:val="20"/>
                <w:szCs w:val="20"/>
              </w:rPr>
              <w:t>Total Expenses</w:t>
            </w:r>
          </w:p>
        </w:tc>
        <w:tc>
          <w:tcPr>
            <w:tcW w:w="1561" w:type="dxa"/>
            <w:vAlign w:val="center"/>
          </w:tcPr>
          <w:p w14:paraId="16DB8A38" w14:textId="607CCA13" w:rsidR="005260D2" w:rsidRPr="007765C2" w:rsidRDefault="005260D2" w:rsidP="00BC3029">
            <w:pPr>
              <w:jc w:val="center"/>
              <w:rPr>
                <w:sz w:val="20"/>
                <w:szCs w:val="20"/>
              </w:rPr>
            </w:pPr>
            <w:r w:rsidRPr="007765C2">
              <w:rPr>
                <w:color w:val="000000"/>
                <w:sz w:val="20"/>
                <w:szCs w:val="20"/>
              </w:rPr>
              <w:t>14,238,202</w:t>
            </w:r>
          </w:p>
        </w:tc>
        <w:tc>
          <w:tcPr>
            <w:tcW w:w="1007" w:type="dxa"/>
            <w:vAlign w:val="center"/>
          </w:tcPr>
          <w:p w14:paraId="7F523D90" w14:textId="2E612C45" w:rsidR="005260D2" w:rsidRPr="007765C2" w:rsidRDefault="005260D2" w:rsidP="00BC3029">
            <w:pPr>
              <w:jc w:val="center"/>
              <w:rPr>
                <w:sz w:val="20"/>
                <w:szCs w:val="20"/>
              </w:rPr>
            </w:pPr>
            <w:r w:rsidRPr="007765C2">
              <w:rPr>
                <w:rFonts w:ascii="Calibri" w:hAnsi="Calibri" w:cs="Calibri"/>
                <w:color w:val="000000"/>
                <w:sz w:val="20"/>
                <w:szCs w:val="20"/>
              </w:rPr>
              <w:t>100%</w:t>
            </w:r>
          </w:p>
        </w:tc>
        <w:tc>
          <w:tcPr>
            <w:tcW w:w="1288" w:type="dxa"/>
            <w:vAlign w:val="center"/>
          </w:tcPr>
          <w:p w14:paraId="1110B87F" w14:textId="60EC2616" w:rsidR="005260D2" w:rsidRPr="007765C2" w:rsidRDefault="005260D2" w:rsidP="00BC3029">
            <w:pPr>
              <w:jc w:val="center"/>
              <w:rPr>
                <w:sz w:val="20"/>
                <w:szCs w:val="20"/>
              </w:rPr>
            </w:pPr>
            <w:r w:rsidRPr="007765C2">
              <w:rPr>
                <w:color w:val="000000"/>
                <w:sz w:val="20"/>
                <w:szCs w:val="20"/>
              </w:rPr>
              <w:t>10,498,705</w:t>
            </w:r>
          </w:p>
        </w:tc>
        <w:tc>
          <w:tcPr>
            <w:tcW w:w="1280" w:type="dxa"/>
            <w:vAlign w:val="center"/>
          </w:tcPr>
          <w:p w14:paraId="4982AB4A" w14:textId="5E7DFDB8" w:rsidR="005260D2" w:rsidRPr="007765C2" w:rsidRDefault="005260D2" w:rsidP="00BC3029">
            <w:pPr>
              <w:jc w:val="center"/>
              <w:rPr>
                <w:sz w:val="20"/>
                <w:szCs w:val="20"/>
              </w:rPr>
            </w:pPr>
            <w:r w:rsidRPr="007765C2">
              <w:rPr>
                <w:rFonts w:ascii="Calibri" w:hAnsi="Calibri" w:cs="Calibri"/>
                <w:color w:val="000000"/>
                <w:sz w:val="20"/>
                <w:szCs w:val="20"/>
              </w:rPr>
              <w:t>100%</w:t>
            </w:r>
          </w:p>
        </w:tc>
        <w:tc>
          <w:tcPr>
            <w:tcW w:w="1405" w:type="dxa"/>
            <w:vAlign w:val="center"/>
          </w:tcPr>
          <w:p w14:paraId="34F216D7" w14:textId="227B72FB" w:rsidR="005260D2" w:rsidRPr="007765C2" w:rsidRDefault="005260D2" w:rsidP="00BC3029">
            <w:pPr>
              <w:jc w:val="center"/>
              <w:rPr>
                <w:sz w:val="20"/>
                <w:szCs w:val="20"/>
              </w:rPr>
            </w:pPr>
            <w:r w:rsidRPr="007765C2">
              <w:rPr>
                <w:color w:val="000000"/>
                <w:sz w:val="20"/>
                <w:szCs w:val="20"/>
              </w:rPr>
              <w:t>24,736,907</w:t>
            </w:r>
          </w:p>
        </w:tc>
        <w:tc>
          <w:tcPr>
            <w:tcW w:w="1405" w:type="dxa"/>
            <w:vAlign w:val="center"/>
          </w:tcPr>
          <w:p w14:paraId="3EFB5AE5" w14:textId="7891B3AD" w:rsidR="005260D2" w:rsidRPr="007765C2" w:rsidRDefault="007765C2" w:rsidP="007765C2">
            <w:pPr>
              <w:keepNext/>
              <w:jc w:val="center"/>
              <w:rPr>
                <w:color w:val="000000"/>
                <w:sz w:val="20"/>
                <w:szCs w:val="20"/>
              </w:rPr>
            </w:pPr>
            <w:r>
              <w:rPr>
                <w:color w:val="000000"/>
                <w:sz w:val="20"/>
                <w:szCs w:val="20"/>
              </w:rPr>
              <w:t>100%</w:t>
            </w:r>
          </w:p>
        </w:tc>
      </w:tr>
    </w:tbl>
    <w:p w14:paraId="5F90D167" w14:textId="0B23513A" w:rsidR="00DD3C3B" w:rsidRDefault="007765C2" w:rsidP="007765C2">
      <w:pPr>
        <w:pStyle w:val="Caption"/>
      </w:pPr>
      <w:r>
        <w:t xml:space="preserve">Operational Expenses </w:t>
      </w:r>
      <w:r>
        <w:fldChar w:fldCharType="begin"/>
      </w:r>
      <w:r>
        <w:instrText xml:space="preserve"> SEQ Operational_Expenses \* ARABIC </w:instrText>
      </w:r>
      <w:r>
        <w:fldChar w:fldCharType="separate"/>
      </w:r>
      <w:r>
        <w:rPr>
          <w:noProof/>
        </w:rPr>
        <w:t>1</w:t>
      </w:r>
      <w:r>
        <w:fldChar w:fldCharType="end"/>
      </w:r>
    </w:p>
    <w:p w14:paraId="6EDC1F8A" w14:textId="77777777" w:rsidR="00DD3C3B" w:rsidRDefault="00DD3C3B"/>
    <w:p w14:paraId="0DB2E6EC" w14:textId="77777777" w:rsidR="00DD3C3B" w:rsidRDefault="00EE2DF5">
      <w:r>
        <w:t>Program Expenses</w:t>
      </w:r>
    </w:p>
    <w:p w14:paraId="58638EE4" w14:textId="77777777" w:rsidR="005260D2" w:rsidRDefault="005260D2"/>
    <w:tbl>
      <w:tblPr>
        <w:tblStyle w:val="TableGrid"/>
        <w:tblW w:w="0" w:type="auto"/>
        <w:tblLook w:val="04A0" w:firstRow="1" w:lastRow="0" w:firstColumn="1" w:lastColumn="0" w:noHBand="0" w:noVBand="1"/>
        <w:tblCaption w:val="Type of Operational Expenses"/>
        <w:tblDescription w:val="Table shows the type of operational expenses for both ISD and IESBVI along with their corresponding percentages of overall program expenses. The types of operational expenses listed are: Education Programs, Residential, Outreach, Administration."/>
      </w:tblPr>
      <w:tblGrid>
        <w:gridCol w:w="1628"/>
        <w:gridCol w:w="1301"/>
        <w:gridCol w:w="1261"/>
        <w:gridCol w:w="1302"/>
        <w:gridCol w:w="1261"/>
        <w:gridCol w:w="1302"/>
        <w:gridCol w:w="1295"/>
      </w:tblGrid>
      <w:tr w:rsidR="005260D2" w14:paraId="4A7A55BE" w14:textId="77777777" w:rsidTr="007765C2">
        <w:trPr>
          <w:cantSplit/>
          <w:tblHeader/>
        </w:trPr>
        <w:tc>
          <w:tcPr>
            <w:tcW w:w="1628" w:type="dxa"/>
            <w:vAlign w:val="center"/>
          </w:tcPr>
          <w:p w14:paraId="0575E10C" w14:textId="5754256B" w:rsidR="005260D2" w:rsidRPr="007765C2" w:rsidRDefault="005260D2" w:rsidP="00BC3029">
            <w:pPr>
              <w:jc w:val="center"/>
              <w:rPr>
                <w:sz w:val="20"/>
                <w:szCs w:val="20"/>
              </w:rPr>
            </w:pPr>
            <w:r w:rsidRPr="007765C2">
              <w:rPr>
                <w:b/>
                <w:bCs/>
                <w:color w:val="000000"/>
                <w:sz w:val="20"/>
                <w:szCs w:val="20"/>
              </w:rPr>
              <w:lastRenderedPageBreak/>
              <w:t>Type of Operational Expense</w:t>
            </w:r>
          </w:p>
        </w:tc>
        <w:tc>
          <w:tcPr>
            <w:tcW w:w="1301" w:type="dxa"/>
            <w:vAlign w:val="center"/>
          </w:tcPr>
          <w:p w14:paraId="16474AC6" w14:textId="5933BF40" w:rsidR="005260D2" w:rsidRPr="007765C2" w:rsidRDefault="005260D2" w:rsidP="00BC3029">
            <w:pPr>
              <w:jc w:val="center"/>
              <w:rPr>
                <w:sz w:val="20"/>
                <w:szCs w:val="20"/>
              </w:rPr>
            </w:pPr>
            <w:r w:rsidRPr="007765C2">
              <w:rPr>
                <w:b/>
                <w:bCs/>
                <w:color w:val="000000"/>
                <w:sz w:val="20"/>
                <w:szCs w:val="20"/>
              </w:rPr>
              <w:t>ISD</w:t>
            </w:r>
          </w:p>
        </w:tc>
        <w:tc>
          <w:tcPr>
            <w:tcW w:w="1261" w:type="dxa"/>
            <w:vAlign w:val="center"/>
          </w:tcPr>
          <w:p w14:paraId="480C575C" w14:textId="30A6763C" w:rsidR="005260D2" w:rsidRPr="007765C2" w:rsidRDefault="005260D2" w:rsidP="00BC3029">
            <w:pPr>
              <w:jc w:val="center"/>
              <w:rPr>
                <w:rFonts w:ascii="Calibri" w:hAnsi="Calibri" w:cs="Calibri"/>
                <w:sz w:val="20"/>
                <w:szCs w:val="20"/>
              </w:rPr>
            </w:pPr>
            <w:r w:rsidRPr="007765C2">
              <w:rPr>
                <w:rFonts w:ascii="Calibri" w:hAnsi="Calibri" w:cs="Calibri"/>
                <w:b/>
                <w:bCs/>
                <w:color w:val="000000"/>
                <w:sz w:val="20"/>
                <w:szCs w:val="20"/>
              </w:rPr>
              <w:t>Percentage of total ISD Program Expenses</w:t>
            </w:r>
          </w:p>
        </w:tc>
        <w:tc>
          <w:tcPr>
            <w:tcW w:w="1302" w:type="dxa"/>
            <w:vAlign w:val="center"/>
          </w:tcPr>
          <w:p w14:paraId="1C803E90" w14:textId="6412E39D" w:rsidR="005260D2" w:rsidRPr="007765C2" w:rsidRDefault="005260D2" w:rsidP="00BC3029">
            <w:pPr>
              <w:jc w:val="center"/>
              <w:rPr>
                <w:sz w:val="20"/>
                <w:szCs w:val="20"/>
              </w:rPr>
            </w:pPr>
            <w:r w:rsidRPr="007765C2">
              <w:rPr>
                <w:b/>
                <w:bCs/>
                <w:color w:val="000000"/>
                <w:sz w:val="20"/>
                <w:szCs w:val="20"/>
              </w:rPr>
              <w:t>IESBVI</w:t>
            </w:r>
          </w:p>
        </w:tc>
        <w:tc>
          <w:tcPr>
            <w:tcW w:w="1261" w:type="dxa"/>
            <w:vAlign w:val="center"/>
          </w:tcPr>
          <w:p w14:paraId="7EECE17E" w14:textId="578B7F5E" w:rsidR="005260D2" w:rsidRPr="007765C2" w:rsidRDefault="005260D2" w:rsidP="00BC3029">
            <w:pPr>
              <w:jc w:val="center"/>
              <w:rPr>
                <w:rFonts w:ascii="Calibri" w:hAnsi="Calibri" w:cs="Calibri"/>
                <w:sz w:val="20"/>
                <w:szCs w:val="20"/>
              </w:rPr>
            </w:pPr>
            <w:r w:rsidRPr="007765C2">
              <w:rPr>
                <w:rFonts w:ascii="Calibri" w:hAnsi="Calibri" w:cs="Calibri"/>
                <w:b/>
                <w:bCs/>
                <w:color w:val="000000"/>
                <w:sz w:val="20"/>
                <w:szCs w:val="20"/>
              </w:rPr>
              <w:t>Percentage of total IESBVI Program Expenses</w:t>
            </w:r>
          </w:p>
        </w:tc>
        <w:tc>
          <w:tcPr>
            <w:tcW w:w="1302" w:type="dxa"/>
            <w:vAlign w:val="center"/>
          </w:tcPr>
          <w:p w14:paraId="60938E0A" w14:textId="00C107C5" w:rsidR="005260D2" w:rsidRPr="007765C2" w:rsidRDefault="005260D2" w:rsidP="00BC3029">
            <w:pPr>
              <w:jc w:val="center"/>
              <w:rPr>
                <w:sz w:val="20"/>
                <w:szCs w:val="20"/>
              </w:rPr>
            </w:pPr>
            <w:r w:rsidRPr="007765C2">
              <w:rPr>
                <w:b/>
                <w:bCs/>
                <w:color w:val="000000"/>
                <w:sz w:val="20"/>
                <w:szCs w:val="20"/>
              </w:rPr>
              <w:t>Total Program Expenses</w:t>
            </w:r>
          </w:p>
        </w:tc>
        <w:tc>
          <w:tcPr>
            <w:tcW w:w="1295" w:type="dxa"/>
            <w:vAlign w:val="center"/>
          </w:tcPr>
          <w:p w14:paraId="17BD0BCC" w14:textId="175A9949" w:rsidR="005260D2" w:rsidRPr="007765C2" w:rsidRDefault="005260D2" w:rsidP="00BC3029">
            <w:pPr>
              <w:jc w:val="center"/>
              <w:rPr>
                <w:rFonts w:ascii="Calibri" w:hAnsi="Calibri" w:cs="Calibri"/>
                <w:sz w:val="20"/>
                <w:szCs w:val="20"/>
              </w:rPr>
            </w:pPr>
            <w:r w:rsidRPr="007765C2">
              <w:rPr>
                <w:b/>
                <w:bCs/>
                <w:color w:val="000000"/>
                <w:sz w:val="20"/>
                <w:szCs w:val="20"/>
              </w:rPr>
              <w:t>Percentage of Total Program Expenses</w:t>
            </w:r>
          </w:p>
        </w:tc>
      </w:tr>
      <w:tr w:rsidR="005260D2" w14:paraId="6CCDEEBC" w14:textId="77777777" w:rsidTr="007765C2">
        <w:trPr>
          <w:cantSplit/>
          <w:tblHeader/>
        </w:trPr>
        <w:tc>
          <w:tcPr>
            <w:tcW w:w="1628" w:type="dxa"/>
            <w:vAlign w:val="center"/>
          </w:tcPr>
          <w:p w14:paraId="7A670505" w14:textId="40BC3BDE" w:rsidR="005260D2" w:rsidRPr="007765C2" w:rsidRDefault="005260D2" w:rsidP="00BC3029">
            <w:pPr>
              <w:jc w:val="center"/>
              <w:rPr>
                <w:b/>
                <w:bCs/>
                <w:sz w:val="20"/>
                <w:szCs w:val="20"/>
              </w:rPr>
            </w:pPr>
            <w:r w:rsidRPr="007765C2">
              <w:rPr>
                <w:b/>
                <w:bCs/>
                <w:sz w:val="20"/>
                <w:szCs w:val="20"/>
              </w:rPr>
              <w:t>Education Programs</w:t>
            </w:r>
          </w:p>
        </w:tc>
        <w:tc>
          <w:tcPr>
            <w:tcW w:w="1301" w:type="dxa"/>
            <w:vAlign w:val="center"/>
          </w:tcPr>
          <w:p w14:paraId="5D3887CD" w14:textId="10518B78" w:rsidR="005260D2" w:rsidRPr="007765C2" w:rsidRDefault="005260D2" w:rsidP="00BC3029">
            <w:pPr>
              <w:jc w:val="center"/>
              <w:rPr>
                <w:sz w:val="20"/>
                <w:szCs w:val="20"/>
              </w:rPr>
            </w:pPr>
            <w:r w:rsidRPr="007765C2">
              <w:rPr>
                <w:sz w:val="20"/>
                <w:szCs w:val="20"/>
              </w:rPr>
              <w:t>5,237,604</w:t>
            </w:r>
          </w:p>
        </w:tc>
        <w:tc>
          <w:tcPr>
            <w:tcW w:w="1261" w:type="dxa"/>
            <w:vAlign w:val="center"/>
          </w:tcPr>
          <w:p w14:paraId="5CBEAE65" w14:textId="23602993" w:rsidR="005260D2" w:rsidRPr="007765C2" w:rsidRDefault="005260D2" w:rsidP="00BC3029">
            <w:pPr>
              <w:jc w:val="center"/>
              <w:rPr>
                <w:sz w:val="20"/>
                <w:szCs w:val="20"/>
              </w:rPr>
            </w:pPr>
            <w:r w:rsidRPr="007765C2">
              <w:rPr>
                <w:rFonts w:ascii="Calibri" w:hAnsi="Calibri" w:cs="Calibri"/>
                <w:sz w:val="20"/>
                <w:szCs w:val="20"/>
              </w:rPr>
              <w:t>37%</w:t>
            </w:r>
          </w:p>
        </w:tc>
        <w:tc>
          <w:tcPr>
            <w:tcW w:w="1302" w:type="dxa"/>
            <w:vAlign w:val="center"/>
          </w:tcPr>
          <w:p w14:paraId="1A353A40" w14:textId="3B27C1F9" w:rsidR="005260D2" w:rsidRPr="007765C2" w:rsidRDefault="005260D2" w:rsidP="00BC3029">
            <w:pPr>
              <w:jc w:val="center"/>
              <w:rPr>
                <w:sz w:val="20"/>
                <w:szCs w:val="20"/>
              </w:rPr>
            </w:pPr>
            <w:r w:rsidRPr="007765C2">
              <w:rPr>
                <w:sz w:val="20"/>
                <w:szCs w:val="20"/>
              </w:rPr>
              <w:t>7,637,941</w:t>
            </w:r>
          </w:p>
        </w:tc>
        <w:tc>
          <w:tcPr>
            <w:tcW w:w="1261" w:type="dxa"/>
            <w:vAlign w:val="center"/>
          </w:tcPr>
          <w:p w14:paraId="07086FC3" w14:textId="7F493190" w:rsidR="005260D2" w:rsidRPr="007765C2" w:rsidRDefault="005260D2" w:rsidP="00BC3029">
            <w:pPr>
              <w:jc w:val="center"/>
              <w:rPr>
                <w:sz w:val="20"/>
                <w:szCs w:val="20"/>
              </w:rPr>
            </w:pPr>
            <w:r w:rsidRPr="007765C2">
              <w:rPr>
                <w:rFonts w:ascii="Calibri" w:hAnsi="Calibri" w:cs="Calibri"/>
                <w:sz w:val="20"/>
                <w:szCs w:val="20"/>
              </w:rPr>
              <w:t>73%</w:t>
            </w:r>
          </w:p>
        </w:tc>
        <w:tc>
          <w:tcPr>
            <w:tcW w:w="1302" w:type="dxa"/>
            <w:vAlign w:val="center"/>
          </w:tcPr>
          <w:p w14:paraId="69B43C64" w14:textId="35FF65C9" w:rsidR="005260D2" w:rsidRPr="007765C2" w:rsidRDefault="005260D2" w:rsidP="00BC3029">
            <w:pPr>
              <w:jc w:val="center"/>
              <w:rPr>
                <w:sz w:val="20"/>
                <w:szCs w:val="20"/>
              </w:rPr>
            </w:pPr>
            <w:r w:rsidRPr="007765C2">
              <w:rPr>
                <w:sz w:val="20"/>
                <w:szCs w:val="20"/>
              </w:rPr>
              <w:t>12,875,545</w:t>
            </w:r>
          </w:p>
        </w:tc>
        <w:tc>
          <w:tcPr>
            <w:tcW w:w="1295" w:type="dxa"/>
            <w:vAlign w:val="center"/>
          </w:tcPr>
          <w:p w14:paraId="427DBD24" w14:textId="21F0AF41" w:rsidR="005260D2" w:rsidRPr="007765C2" w:rsidRDefault="005260D2" w:rsidP="00BC3029">
            <w:pPr>
              <w:jc w:val="center"/>
              <w:rPr>
                <w:sz w:val="20"/>
                <w:szCs w:val="20"/>
              </w:rPr>
            </w:pPr>
            <w:r w:rsidRPr="007765C2">
              <w:rPr>
                <w:rFonts w:ascii="Calibri" w:hAnsi="Calibri" w:cs="Calibri"/>
                <w:sz w:val="20"/>
                <w:szCs w:val="20"/>
              </w:rPr>
              <w:t>52%</w:t>
            </w:r>
          </w:p>
        </w:tc>
      </w:tr>
      <w:tr w:rsidR="005260D2" w14:paraId="510556F9" w14:textId="77777777" w:rsidTr="007765C2">
        <w:trPr>
          <w:cantSplit/>
          <w:tblHeader/>
        </w:trPr>
        <w:tc>
          <w:tcPr>
            <w:tcW w:w="1628" w:type="dxa"/>
            <w:vAlign w:val="center"/>
          </w:tcPr>
          <w:p w14:paraId="334C8846" w14:textId="29802549" w:rsidR="005260D2" w:rsidRPr="007765C2" w:rsidRDefault="005260D2" w:rsidP="00BC3029">
            <w:pPr>
              <w:jc w:val="center"/>
              <w:rPr>
                <w:b/>
                <w:bCs/>
                <w:sz w:val="20"/>
                <w:szCs w:val="20"/>
              </w:rPr>
            </w:pPr>
            <w:r w:rsidRPr="007765C2">
              <w:rPr>
                <w:b/>
                <w:bCs/>
                <w:sz w:val="20"/>
                <w:szCs w:val="20"/>
              </w:rPr>
              <w:t>Residential</w:t>
            </w:r>
          </w:p>
        </w:tc>
        <w:tc>
          <w:tcPr>
            <w:tcW w:w="1301" w:type="dxa"/>
            <w:vAlign w:val="center"/>
          </w:tcPr>
          <w:p w14:paraId="1A14C783" w14:textId="34231EBD" w:rsidR="005260D2" w:rsidRPr="007765C2" w:rsidRDefault="005260D2" w:rsidP="00BC3029">
            <w:pPr>
              <w:jc w:val="center"/>
              <w:rPr>
                <w:sz w:val="20"/>
                <w:szCs w:val="20"/>
              </w:rPr>
            </w:pPr>
            <w:r w:rsidRPr="007765C2">
              <w:rPr>
                <w:sz w:val="20"/>
                <w:szCs w:val="20"/>
              </w:rPr>
              <w:t>3,612,085</w:t>
            </w:r>
          </w:p>
        </w:tc>
        <w:tc>
          <w:tcPr>
            <w:tcW w:w="1261" w:type="dxa"/>
            <w:vAlign w:val="center"/>
          </w:tcPr>
          <w:p w14:paraId="2A36BD84" w14:textId="425EFB7F" w:rsidR="005260D2" w:rsidRPr="007765C2" w:rsidRDefault="005260D2" w:rsidP="00BC3029">
            <w:pPr>
              <w:jc w:val="center"/>
              <w:rPr>
                <w:sz w:val="20"/>
                <w:szCs w:val="20"/>
              </w:rPr>
            </w:pPr>
            <w:r w:rsidRPr="007765C2">
              <w:rPr>
                <w:rFonts w:ascii="Calibri" w:hAnsi="Calibri" w:cs="Calibri"/>
                <w:sz w:val="20"/>
                <w:szCs w:val="20"/>
              </w:rPr>
              <w:t>25%</w:t>
            </w:r>
          </w:p>
        </w:tc>
        <w:tc>
          <w:tcPr>
            <w:tcW w:w="1302" w:type="dxa"/>
            <w:vAlign w:val="center"/>
          </w:tcPr>
          <w:p w14:paraId="11112B07" w14:textId="50E311E0" w:rsidR="005260D2" w:rsidRPr="007765C2" w:rsidRDefault="005260D2" w:rsidP="00BC3029">
            <w:pPr>
              <w:jc w:val="center"/>
              <w:rPr>
                <w:sz w:val="20"/>
                <w:szCs w:val="20"/>
              </w:rPr>
            </w:pPr>
            <w:r w:rsidRPr="007765C2">
              <w:rPr>
                <w:sz w:val="20"/>
                <w:szCs w:val="20"/>
              </w:rPr>
              <w:t>17,246</w:t>
            </w:r>
          </w:p>
        </w:tc>
        <w:tc>
          <w:tcPr>
            <w:tcW w:w="1261" w:type="dxa"/>
            <w:vAlign w:val="center"/>
          </w:tcPr>
          <w:p w14:paraId="5AAC5640" w14:textId="323196F1" w:rsidR="005260D2" w:rsidRPr="007765C2" w:rsidRDefault="005260D2" w:rsidP="00BC3029">
            <w:pPr>
              <w:jc w:val="center"/>
              <w:rPr>
                <w:sz w:val="20"/>
                <w:szCs w:val="20"/>
              </w:rPr>
            </w:pPr>
            <w:r w:rsidRPr="007765C2">
              <w:rPr>
                <w:rFonts w:ascii="Calibri" w:hAnsi="Calibri" w:cs="Calibri"/>
                <w:sz w:val="20"/>
                <w:szCs w:val="20"/>
              </w:rPr>
              <w:t>0%</w:t>
            </w:r>
          </w:p>
        </w:tc>
        <w:tc>
          <w:tcPr>
            <w:tcW w:w="1302" w:type="dxa"/>
            <w:vAlign w:val="center"/>
          </w:tcPr>
          <w:p w14:paraId="2075C39F" w14:textId="337869DA" w:rsidR="005260D2" w:rsidRPr="007765C2" w:rsidRDefault="005260D2" w:rsidP="00BC3029">
            <w:pPr>
              <w:jc w:val="center"/>
              <w:rPr>
                <w:sz w:val="20"/>
                <w:szCs w:val="20"/>
              </w:rPr>
            </w:pPr>
            <w:r w:rsidRPr="007765C2">
              <w:rPr>
                <w:sz w:val="20"/>
                <w:szCs w:val="20"/>
              </w:rPr>
              <w:t>3,629,331</w:t>
            </w:r>
          </w:p>
        </w:tc>
        <w:tc>
          <w:tcPr>
            <w:tcW w:w="1295" w:type="dxa"/>
            <w:vAlign w:val="center"/>
          </w:tcPr>
          <w:p w14:paraId="60DE7397" w14:textId="2D81A2EB" w:rsidR="005260D2" w:rsidRPr="007765C2" w:rsidRDefault="005260D2" w:rsidP="00BC3029">
            <w:pPr>
              <w:jc w:val="center"/>
              <w:rPr>
                <w:sz w:val="20"/>
                <w:szCs w:val="20"/>
              </w:rPr>
            </w:pPr>
            <w:r w:rsidRPr="007765C2">
              <w:rPr>
                <w:rFonts w:ascii="Calibri" w:hAnsi="Calibri" w:cs="Calibri"/>
                <w:sz w:val="20"/>
                <w:szCs w:val="20"/>
              </w:rPr>
              <w:t>15%</w:t>
            </w:r>
          </w:p>
        </w:tc>
      </w:tr>
      <w:tr w:rsidR="005260D2" w14:paraId="3DB833F4" w14:textId="77777777" w:rsidTr="007765C2">
        <w:trPr>
          <w:cantSplit/>
          <w:tblHeader/>
        </w:trPr>
        <w:tc>
          <w:tcPr>
            <w:tcW w:w="1628" w:type="dxa"/>
            <w:vAlign w:val="center"/>
          </w:tcPr>
          <w:p w14:paraId="54E6769B" w14:textId="6153D93A" w:rsidR="005260D2" w:rsidRPr="007765C2" w:rsidRDefault="005260D2" w:rsidP="00BC3029">
            <w:pPr>
              <w:jc w:val="center"/>
              <w:rPr>
                <w:b/>
                <w:bCs/>
                <w:sz w:val="20"/>
                <w:szCs w:val="20"/>
              </w:rPr>
            </w:pPr>
            <w:r w:rsidRPr="007765C2">
              <w:rPr>
                <w:b/>
                <w:bCs/>
                <w:sz w:val="20"/>
                <w:szCs w:val="20"/>
              </w:rPr>
              <w:t>Outreach</w:t>
            </w:r>
          </w:p>
        </w:tc>
        <w:tc>
          <w:tcPr>
            <w:tcW w:w="1301" w:type="dxa"/>
            <w:vAlign w:val="center"/>
          </w:tcPr>
          <w:p w14:paraId="28610495" w14:textId="68C16753" w:rsidR="005260D2" w:rsidRPr="007765C2" w:rsidRDefault="005260D2" w:rsidP="00BC3029">
            <w:pPr>
              <w:jc w:val="center"/>
              <w:rPr>
                <w:sz w:val="20"/>
                <w:szCs w:val="20"/>
              </w:rPr>
            </w:pPr>
            <w:r w:rsidRPr="007765C2">
              <w:rPr>
                <w:sz w:val="20"/>
                <w:szCs w:val="20"/>
              </w:rPr>
              <w:t>1,665,082</w:t>
            </w:r>
          </w:p>
        </w:tc>
        <w:tc>
          <w:tcPr>
            <w:tcW w:w="1261" w:type="dxa"/>
            <w:vAlign w:val="center"/>
          </w:tcPr>
          <w:p w14:paraId="2CF98DAA" w14:textId="5EA5D283" w:rsidR="005260D2" w:rsidRPr="007765C2" w:rsidRDefault="005260D2" w:rsidP="00BC3029">
            <w:pPr>
              <w:jc w:val="center"/>
              <w:rPr>
                <w:sz w:val="20"/>
                <w:szCs w:val="20"/>
              </w:rPr>
            </w:pPr>
            <w:r w:rsidRPr="007765C2">
              <w:rPr>
                <w:rFonts w:ascii="Calibri" w:hAnsi="Calibri" w:cs="Calibri"/>
                <w:sz w:val="20"/>
                <w:szCs w:val="20"/>
              </w:rPr>
              <w:t>12%</w:t>
            </w:r>
          </w:p>
        </w:tc>
        <w:tc>
          <w:tcPr>
            <w:tcW w:w="1302" w:type="dxa"/>
            <w:vAlign w:val="center"/>
          </w:tcPr>
          <w:p w14:paraId="7CBC7BCF" w14:textId="1A89D2FE" w:rsidR="005260D2" w:rsidRPr="007765C2" w:rsidRDefault="005260D2" w:rsidP="00BC3029">
            <w:pPr>
              <w:jc w:val="center"/>
              <w:rPr>
                <w:sz w:val="20"/>
                <w:szCs w:val="20"/>
              </w:rPr>
            </w:pPr>
            <w:r w:rsidRPr="007765C2">
              <w:rPr>
                <w:sz w:val="20"/>
                <w:szCs w:val="20"/>
              </w:rPr>
              <w:t>1,484,514</w:t>
            </w:r>
          </w:p>
        </w:tc>
        <w:tc>
          <w:tcPr>
            <w:tcW w:w="1261" w:type="dxa"/>
            <w:vAlign w:val="center"/>
          </w:tcPr>
          <w:p w14:paraId="65E6B839" w14:textId="3470273A" w:rsidR="005260D2" w:rsidRPr="007765C2" w:rsidRDefault="005260D2" w:rsidP="00BC3029">
            <w:pPr>
              <w:jc w:val="center"/>
              <w:rPr>
                <w:sz w:val="20"/>
                <w:szCs w:val="20"/>
              </w:rPr>
            </w:pPr>
            <w:r w:rsidRPr="007765C2">
              <w:rPr>
                <w:rFonts w:ascii="Calibri" w:hAnsi="Calibri" w:cs="Calibri"/>
                <w:sz w:val="20"/>
                <w:szCs w:val="20"/>
              </w:rPr>
              <w:t>14%</w:t>
            </w:r>
          </w:p>
        </w:tc>
        <w:tc>
          <w:tcPr>
            <w:tcW w:w="1302" w:type="dxa"/>
            <w:vAlign w:val="center"/>
          </w:tcPr>
          <w:p w14:paraId="5F363E7E" w14:textId="4D9DA473" w:rsidR="005260D2" w:rsidRPr="007765C2" w:rsidRDefault="005260D2" w:rsidP="00BC3029">
            <w:pPr>
              <w:jc w:val="center"/>
              <w:rPr>
                <w:sz w:val="20"/>
                <w:szCs w:val="20"/>
              </w:rPr>
            </w:pPr>
            <w:r w:rsidRPr="007765C2">
              <w:rPr>
                <w:sz w:val="20"/>
                <w:szCs w:val="20"/>
              </w:rPr>
              <w:t>3,149,596</w:t>
            </w:r>
          </w:p>
        </w:tc>
        <w:tc>
          <w:tcPr>
            <w:tcW w:w="1295" w:type="dxa"/>
            <w:vAlign w:val="center"/>
          </w:tcPr>
          <w:p w14:paraId="3F08552B" w14:textId="33BABB73" w:rsidR="005260D2" w:rsidRPr="007765C2" w:rsidRDefault="005260D2" w:rsidP="00BC3029">
            <w:pPr>
              <w:jc w:val="center"/>
              <w:rPr>
                <w:sz w:val="20"/>
                <w:szCs w:val="20"/>
              </w:rPr>
            </w:pPr>
            <w:r w:rsidRPr="007765C2">
              <w:rPr>
                <w:rFonts w:ascii="Calibri" w:hAnsi="Calibri" w:cs="Calibri"/>
                <w:sz w:val="20"/>
                <w:szCs w:val="20"/>
              </w:rPr>
              <w:t>13%</w:t>
            </w:r>
          </w:p>
        </w:tc>
      </w:tr>
      <w:tr w:rsidR="005260D2" w14:paraId="67B20E6A" w14:textId="77777777" w:rsidTr="007765C2">
        <w:trPr>
          <w:cantSplit/>
          <w:tblHeader/>
        </w:trPr>
        <w:tc>
          <w:tcPr>
            <w:tcW w:w="1628" w:type="dxa"/>
            <w:vAlign w:val="center"/>
          </w:tcPr>
          <w:p w14:paraId="5EADEF9B" w14:textId="1DB6054B" w:rsidR="005260D2" w:rsidRPr="007765C2" w:rsidRDefault="005260D2" w:rsidP="00BC3029">
            <w:pPr>
              <w:jc w:val="center"/>
              <w:rPr>
                <w:b/>
                <w:bCs/>
                <w:sz w:val="20"/>
                <w:szCs w:val="20"/>
              </w:rPr>
            </w:pPr>
            <w:r w:rsidRPr="007765C2">
              <w:rPr>
                <w:b/>
                <w:bCs/>
                <w:sz w:val="20"/>
                <w:szCs w:val="20"/>
              </w:rPr>
              <w:t>Administration</w:t>
            </w:r>
          </w:p>
        </w:tc>
        <w:tc>
          <w:tcPr>
            <w:tcW w:w="1301" w:type="dxa"/>
            <w:vAlign w:val="center"/>
          </w:tcPr>
          <w:p w14:paraId="51CDF096" w14:textId="6AF5D1E7" w:rsidR="005260D2" w:rsidRPr="007765C2" w:rsidRDefault="005260D2" w:rsidP="00BC3029">
            <w:pPr>
              <w:jc w:val="center"/>
              <w:rPr>
                <w:sz w:val="20"/>
                <w:szCs w:val="20"/>
              </w:rPr>
            </w:pPr>
            <w:r w:rsidRPr="007765C2">
              <w:rPr>
                <w:sz w:val="20"/>
                <w:szCs w:val="20"/>
              </w:rPr>
              <w:t>3,723,432</w:t>
            </w:r>
          </w:p>
        </w:tc>
        <w:tc>
          <w:tcPr>
            <w:tcW w:w="1261" w:type="dxa"/>
            <w:vAlign w:val="center"/>
          </w:tcPr>
          <w:p w14:paraId="64939E2E" w14:textId="73828BF1" w:rsidR="005260D2" w:rsidRPr="007765C2" w:rsidRDefault="005260D2" w:rsidP="00BC3029">
            <w:pPr>
              <w:jc w:val="center"/>
              <w:rPr>
                <w:sz w:val="20"/>
                <w:szCs w:val="20"/>
              </w:rPr>
            </w:pPr>
            <w:r w:rsidRPr="007765C2">
              <w:rPr>
                <w:rFonts w:ascii="Calibri" w:hAnsi="Calibri" w:cs="Calibri"/>
                <w:sz w:val="20"/>
                <w:szCs w:val="20"/>
              </w:rPr>
              <w:t>26%</w:t>
            </w:r>
          </w:p>
        </w:tc>
        <w:tc>
          <w:tcPr>
            <w:tcW w:w="1302" w:type="dxa"/>
            <w:vAlign w:val="center"/>
          </w:tcPr>
          <w:p w14:paraId="0E2835F0" w14:textId="723F9482" w:rsidR="005260D2" w:rsidRPr="007765C2" w:rsidRDefault="005260D2" w:rsidP="00BC3029">
            <w:pPr>
              <w:jc w:val="center"/>
              <w:rPr>
                <w:sz w:val="20"/>
                <w:szCs w:val="20"/>
              </w:rPr>
            </w:pPr>
            <w:r w:rsidRPr="007765C2">
              <w:rPr>
                <w:sz w:val="20"/>
                <w:szCs w:val="20"/>
              </w:rPr>
              <w:t>1,359,004</w:t>
            </w:r>
          </w:p>
        </w:tc>
        <w:tc>
          <w:tcPr>
            <w:tcW w:w="1261" w:type="dxa"/>
            <w:vAlign w:val="center"/>
          </w:tcPr>
          <w:p w14:paraId="37A9E8E4" w14:textId="0C313817" w:rsidR="005260D2" w:rsidRPr="007765C2" w:rsidRDefault="005260D2" w:rsidP="00BC3029">
            <w:pPr>
              <w:jc w:val="center"/>
              <w:rPr>
                <w:sz w:val="20"/>
                <w:szCs w:val="20"/>
              </w:rPr>
            </w:pPr>
            <w:r w:rsidRPr="007765C2">
              <w:rPr>
                <w:rFonts w:ascii="Calibri" w:hAnsi="Calibri" w:cs="Calibri"/>
                <w:sz w:val="20"/>
                <w:szCs w:val="20"/>
              </w:rPr>
              <w:t>13%</w:t>
            </w:r>
          </w:p>
        </w:tc>
        <w:tc>
          <w:tcPr>
            <w:tcW w:w="1302" w:type="dxa"/>
            <w:vAlign w:val="center"/>
          </w:tcPr>
          <w:p w14:paraId="0C584F38" w14:textId="57417D61" w:rsidR="005260D2" w:rsidRPr="007765C2" w:rsidRDefault="005260D2" w:rsidP="00BC3029">
            <w:pPr>
              <w:jc w:val="center"/>
              <w:rPr>
                <w:sz w:val="20"/>
                <w:szCs w:val="20"/>
              </w:rPr>
            </w:pPr>
            <w:r w:rsidRPr="007765C2">
              <w:rPr>
                <w:sz w:val="20"/>
                <w:szCs w:val="20"/>
              </w:rPr>
              <w:t>5,082,436</w:t>
            </w:r>
          </w:p>
        </w:tc>
        <w:tc>
          <w:tcPr>
            <w:tcW w:w="1295" w:type="dxa"/>
            <w:vAlign w:val="center"/>
          </w:tcPr>
          <w:p w14:paraId="32E3C966" w14:textId="0673E6D5" w:rsidR="005260D2" w:rsidRPr="007765C2" w:rsidRDefault="005260D2" w:rsidP="00BC3029">
            <w:pPr>
              <w:jc w:val="center"/>
              <w:rPr>
                <w:sz w:val="20"/>
                <w:szCs w:val="20"/>
              </w:rPr>
            </w:pPr>
            <w:r w:rsidRPr="007765C2">
              <w:rPr>
                <w:rFonts w:ascii="Calibri" w:hAnsi="Calibri" w:cs="Calibri"/>
                <w:sz w:val="20"/>
                <w:szCs w:val="20"/>
              </w:rPr>
              <w:t>21%</w:t>
            </w:r>
          </w:p>
        </w:tc>
      </w:tr>
      <w:tr w:rsidR="005260D2" w14:paraId="34FAE02F" w14:textId="77777777" w:rsidTr="007765C2">
        <w:trPr>
          <w:cantSplit/>
          <w:tblHeader/>
        </w:trPr>
        <w:tc>
          <w:tcPr>
            <w:tcW w:w="1628" w:type="dxa"/>
            <w:vAlign w:val="center"/>
          </w:tcPr>
          <w:p w14:paraId="34DFF9D6" w14:textId="276B1EC5" w:rsidR="005260D2" w:rsidRPr="007765C2" w:rsidRDefault="005260D2" w:rsidP="00BC3029">
            <w:pPr>
              <w:jc w:val="center"/>
              <w:rPr>
                <w:b/>
                <w:bCs/>
                <w:sz w:val="20"/>
                <w:szCs w:val="20"/>
              </w:rPr>
            </w:pPr>
            <w:r w:rsidRPr="007765C2">
              <w:rPr>
                <w:b/>
                <w:bCs/>
                <w:sz w:val="20"/>
                <w:szCs w:val="20"/>
              </w:rPr>
              <w:t>Total Expenses</w:t>
            </w:r>
          </w:p>
        </w:tc>
        <w:tc>
          <w:tcPr>
            <w:tcW w:w="1301" w:type="dxa"/>
            <w:vAlign w:val="center"/>
          </w:tcPr>
          <w:p w14:paraId="0F804DDA" w14:textId="5388378B" w:rsidR="005260D2" w:rsidRPr="007765C2" w:rsidRDefault="005260D2" w:rsidP="00BC3029">
            <w:pPr>
              <w:jc w:val="center"/>
              <w:rPr>
                <w:sz w:val="20"/>
                <w:szCs w:val="20"/>
              </w:rPr>
            </w:pPr>
            <w:r w:rsidRPr="007765C2">
              <w:rPr>
                <w:sz w:val="20"/>
                <w:szCs w:val="20"/>
              </w:rPr>
              <w:t>14,238,202</w:t>
            </w:r>
          </w:p>
        </w:tc>
        <w:tc>
          <w:tcPr>
            <w:tcW w:w="1261" w:type="dxa"/>
            <w:vAlign w:val="center"/>
          </w:tcPr>
          <w:p w14:paraId="48376622" w14:textId="2BC7B061" w:rsidR="005260D2" w:rsidRPr="007765C2" w:rsidRDefault="005260D2" w:rsidP="00BC3029">
            <w:pPr>
              <w:jc w:val="center"/>
              <w:rPr>
                <w:sz w:val="20"/>
                <w:szCs w:val="20"/>
              </w:rPr>
            </w:pPr>
            <w:r w:rsidRPr="007765C2">
              <w:rPr>
                <w:rFonts w:ascii="Calibri" w:hAnsi="Calibri" w:cs="Calibri"/>
                <w:sz w:val="20"/>
                <w:szCs w:val="20"/>
              </w:rPr>
              <w:t>100%</w:t>
            </w:r>
          </w:p>
        </w:tc>
        <w:tc>
          <w:tcPr>
            <w:tcW w:w="1302" w:type="dxa"/>
            <w:vAlign w:val="center"/>
          </w:tcPr>
          <w:p w14:paraId="1055FA33" w14:textId="26C64DC2" w:rsidR="005260D2" w:rsidRPr="007765C2" w:rsidRDefault="005260D2" w:rsidP="00BC3029">
            <w:pPr>
              <w:jc w:val="center"/>
              <w:rPr>
                <w:sz w:val="20"/>
                <w:szCs w:val="20"/>
              </w:rPr>
            </w:pPr>
            <w:r w:rsidRPr="007765C2">
              <w:rPr>
                <w:sz w:val="20"/>
                <w:szCs w:val="20"/>
              </w:rPr>
              <w:t>10,498,705</w:t>
            </w:r>
          </w:p>
        </w:tc>
        <w:tc>
          <w:tcPr>
            <w:tcW w:w="1261" w:type="dxa"/>
            <w:vAlign w:val="center"/>
          </w:tcPr>
          <w:p w14:paraId="4D6C33D1" w14:textId="20A1E11F" w:rsidR="005260D2" w:rsidRPr="007765C2" w:rsidRDefault="005260D2" w:rsidP="00BC3029">
            <w:pPr>
              <w:jc w:val="center"/>
              <w:rPr>
                <w:sz w:val="20"/>
                <w:szCs w:val="20"/>
              </w:rPr>
            </w:pPr>
            <w:r w:rsidRPr="007765C2">
              <w:rPr>
                <w:rFonts w:ascii="Calibri" w:hAnsi="Calibri" w:cs="Calibri"/>
                <w:sz w:val="20"/>
                <w:szCs w:val="20"/>
              </w:rPr>
              <w:t>100%</w:t>
            </w:r>
          </w:p>
        </w:tc>
        <w:tc>
          <w:tcPr>
            <w:tcW w:w="1302" w:type="dxa"/>
            <w:vAlign w:val="center"/>
          </w:tcPr>
          <w:p w14:paraId="4B0CC918" w14:textId="7D462D56" w:rsidR="005260D2" w:rsidRPr="007765C2" w:rsidRDefault="005260D2" w:rsidP="00BC3029">
            <w:pPr>
              <w:jc w:val="center"/>
              <w:rPr>
                <w:sz w:val="20"/>
                <w:szCs w:val="20"/>
              </w:rPr>
            </w:pPr>
            <w:r w:rsidRPr="007765C2">
              <w:rPr>
                <w:sz w:val="20"/>
                <w:szCs w:val="20"/>
              </w:rPr>
              <w:t>24,736,907</w:t>
            </w:r>
          </w:p>
        </w:tc>
        <w:tc>
          <w:tcPr>
            <w:tcW w:w="1295" w:type="dxa"/>
            <w:vAlign w:val="center"/>
          </w:tcPr>
          <w:p w14:paraId="448B7456" w14:textId="08463C99" w:rsidR="005260D2" w:rsidRPr="007765C2" w:rsidRDefault="005260D2" w:rsidP="00BC3029">
            <w:pPr>
              <w:jc w:val="center"/>
              <w:rPr>
                <w:sz w:val="20"/>
                <w:szCs w:val="20"/>
              </w:rPr>
            </w:pPr>
            <w:r w:rsidRPr="007765C2">
              <w:rPr>
                <w:rFonts w:ascii="Calibri" w:hAnsi="Calibri" w:cs="Calibri"/>
                <w:sz w:val="20"/>
                <w:szCs w:val="20"/>
              </w:rPr>
              <w:t>100%</w:t>
            </w:r>
          </w:p>
        </w:tc>
      </w:tr>
    </w:tbl>
    <w:p w14:paraId="4FF2AB5A" w14:textId="7109F37D" w:rsidR="005260D2" w:rsidRDefault="007765C2" w:rsidP="007765C2">
      <w:pPr>
        <w:pStyle w:val="Caption"/>
      </w:pPr>
      <w:r>
        <w:t xml:space="preserve">Program Expenses </w:t>
      </w:r>
      <w:r>
        <w:fldChar w:fldCharType="begin"/>
      </w:r>
      <w:r>
        <w:instrText xml:space="preserve"> SEQ Program_Expenses \* ARABIC </w:instrText>
      </w:r>
      <w:r>
        <w:fldChar w:fldCharType="separate"/>
      </w:r>
      <w:r>
        <w:rPr>
          <w:noProof/>
        </w:rPr>
        <w:t>1</w:t>
      </w:r>
      <w:r>
        <w:fldChar w:fldCharType="end"/>
      </w:r>
    </w:p>
    <w:p w14:paraId="105DEDBE" w14:textId="77777777" w:rsidR="00DD3C3B" w:rsidRDefault="00EE2DF5">
      <w:pPr>
        <w:pStyle w:val="Heading1"/>
      </w:pPr>
      <w:bookmarkStart w:id="27" w:name="_2eg28vj15s4z" w:colFirst="0" w:colLast="0"/>
      <w:bookmarkEnd w:id="27"/>
      <w:r>
        <w:t xml:space="preserve">About Iowa </w:t>
      </w:r>
    </w:p>
    <w:p w14:paraId="7E763E74" w14:textId="77777777" w:rsidR="00DD3C3B" w:rsidRDefault="00DD3C3B"/>
    <w:p w14:paraId="1946DD55" w14:textId="77777777" w:rsidR="00DD3C3B" w:rsidRDefault="00EE2DF5">
      <w:r>
        <w:t>Iowa, nestled in the heartland of the United States, offers a unique and welcoming environment for educators like yourself. Known for its friendly communities and strong sense of community engagement, Iowa provides an ideal setting for those passionate about making a positive impact on students' lives. The state is renowned for its commitment to education, consistently ranking high in national education assessments. The emphasis on quality education is reflected in the numerous excellent schools and institutions, creating a stimulating and supportive atmosphere for both educators and students.</w:t>
      </w:r>
    </w:p>
    <w:p w14:paraId="4EA5BCA7" w14:textId="77777777" w:rsidR="00DD3C3B" w:rsidRDefault="00DD3C3B"/>
    <w:p w14:paraId="4743240A" w14:textId="77777777" w:rsidR="00DD3C3B" w:rsidRDefault="00EE2DF5">
      <w:r>
        <w:t>Beyond its educational prowess, Iowa boasts diverse landscapes and a rich cultural tapestry. From the picturesque rolling hills to expansive farmlands, the state's natural beauty provides a serene backdrop for both work and leisure. Residents take pride in the state's strong sense of community, where neighbors often come together for local events, festivals, and activities. This communal spirit extends to the schools, fostering a collaborative and supportive teaching environment where educators are valued contributors to the community's overall well-being.</w:t>
      </w:r>
    </w:p>
    <w:p w14:paraId="75CA7782" w14:textId="77777777" w:rsidR="00DD3C3B" w:rsidRDefault="00DD3C3B"/>
    <w:p w14:paraId="7357BB4C" w14:textId="77777777" w:rsidR="00DD3C3B" w:rsidRDefault="00EE2DF5">
      <w:r>
        <w:t>Iowa's cost of living is reasonable, making it an attractive destination for those seeking a balanced and comfortable lifestyle. The state's commitment to work-life balance, combined with its strong educational foundations and vibrant communities, creates a compelling case for professionals in the education sector. If you're looking for a place where your dedication to teaching is appreciated, and where you can enjoy a fulfilling personal life, consider Iowa.</w:t>
      </w:r>
    </w:p>
    <w:p w14:paraId="07B9433B" w14:textId="77777777" w:rsidR="00DD3C3B" w:rsidRDefault="00DD3C3B">
      <w:pPr>
        <w:rPr>
          <w:highlight w:val="yellow"/>
        </w:rPr>
      </w:pPr>
    </w:p>
    <w:p w14:paraId="6954E235" w14:textId="77777777" w:rsidR="00DD3C3B" w:rsidRDefault="00EE2DF5">
      <w:pPr>
        <w:pStyle w:val="Heading1"/>
      </w:pPr>
      <w:bookmarkStart w:id="28" w:name="_eu3smxwly1ok" w:colFirst="0" w:colLast="0"/>
      <w:bookmarkEnd w:id="28"/>
      <w:r>
        <w:t>Iowa Deaf and Blind Community</w:t>
      </w:r>
    </w:p>
    <w:p w14:paraId="7876F8CC" w14:textId="77777777" w:rsidR="00DD3C3B" w:rsidRDefault="00DD3C3B"/>
    <w:p w14:paraId="07339962" w14:textId="77777777" w:rsidR="00DD3C3B" w:rsidRDefault="00EE2DF5">
      <w:r>
        <w:t xml:space="preserve">Iowa has cultivated a vibrant and supportive environment for the Deaf, Blind, and </w:t>
      </w:r>
      <w:proofErr w:type="spellStart"/>
      <w:r>
        <w:t>DeafBlind</w:t>
      </w:r>
      <w:proofErr w:type="spellEnd"/>
      <w:r>
        <w:t xml:space="preserve"> communities, with various organizations and activities dedicated to enhancing their quality of life. These organizations play crucial roles in advocating for the rights and well-being of </w:t>
      </w:r>
      <w:r>
        <w:lastRenderedPageBreak/>
        <w:t>individuals within each community. Additionally, these organizations offer a platform for social connection, information sharing, and mutual support, fostering a sense of unity among their members.</w:t>
      </w:r>
    </w:p>
    <w:p w14:paraId="618FEE09" w14:textId="77777777" w:rsidR="00DD3C3B" w:rsidRDefault="00DD3C3B"/>
    <w:p w14:paraId="69ABBA44" w14:textId="0A76F53D" w:rsidR="00DD3C3B" w:rsidRDefault="00EE2DF5">
      <w:r>
        <w:t>Numerous inclusive events and activities cater specifically to the Deaf and Blind, communities in Iowa. These range from accessible cultural festivals to social gatherings where tactile and sign language communication methods are prioritized. Local community centers often host events that promote inclusivity, such as workshops on adaptive technology, accessible arts and culture programs, and interactive experiences designed to engage all individuals, regardless of their sensory abilities. These initiatives contribute to a sense of belonging and empowerment within the Deaf and Blind communities in Iowa.</w:t>
      </w:r>
    </w:p>
    <w:p w14:paraId="7C15AB3A" w14:textId="77777777" w:rsidR="00DD3C3B" w:rsidRDefault="00DD3C3B"/>
    <w:p w14:paraId="6656B8D1" w14:textId="47FC61A2" w:rsidR="00DD3C3B" w:rsidRDefault="00EE2DF5">
      <w:r>
        <w:t xml:space="preserve">Additionally, Iowa strives to ensure public spaces and events are accessible.  This is an ongoing endeavor as awareness of the needs of Iowa’s Deaf and Blind communities presents new challenges.  These challenges are met with a “can do” attitude.  Providing interpreters, captioning services, and other accommodations to facilitate equal participation are priorities. The state's commitment to accessibility extends beyond legal requirements, with the goal to create an environment where individuals with sensory challenges can actively engage in community life. Overall, Iowa's Deaf and Blind communities benefit from a network of organizations and inclusive activities that not only address their unique needs but also celebrate their contributions to the diverse </w:t>
      </w:r>
      <w:r w:rsidR="00663BDD">
        <w:t>weaving</w:t>
      </w:r>
      <w:r>
        <w:t xml:space="preserve"> of the state.</w:t>
      </w:r>
    </w:p>
    <w:p w14:paraId="27FD2795" w14:textId="77777777" w:rsidR="00DD3C3B" w:rsidRDefault="00DD3C3B"/>
    <w:p w14:paraId="35E44A0F" w14:textId="77777777" w:rsidR="00DD3C3B" w:rsidRDefault="00EE2DF5">
      <w:pPr>
        <w:pStyle w:val="Heading1"/>
      </w:pPr>
      <w:bookmarkStart w:id="29" w:name="_5iff38564j4d" w:colFirst="0" w:colLast="0"/>
      <w:bookmarkEnd w:id="29"/>
      <w:r>
        <w:t>Superintendent Leader Profile</w:t>
      </w:r>
    </w:p>
    <w:p w14:paraId="11F9ED81" w14:textId="77777777" w:rsidR="00DD3C3B" w:rsidRDefault="00DD3C3B"/>
    <w:p w14:paraId="3C192F5A" w14:textId="77777777" w:rsidR="00DD3C3B" w:rsidRDefault="00EE2DF5">
      <w:pPr>
        <w:rPr>
          <w:b/>
        </w:rPr>
      </w:pPr>
      <w:r>
        <w:rPr>
          <w:b/>
        </w:rPr>
        <w:t>Educational Excellence and Academic Achievement</w:t>
      </w:r>
    </w:p>
    <w:p w14:paraId="2D3A6018" w14:textId="77777777" w:rsidR="00DD3C3B" w:rsidRDefault="00EE2DF5">
      <w:r>
        <w:t xml:space="preserve">The superintendent fosters educational excellence and academic achievement for Blind, Deaf, and </w:t>
      </w:r>
      <w:proofErr w:type="spellStart"/>
      <w:r>
        <w:t>DeafBlind</w:t>
      </w:r>
      <w:proofErr w:type="spellEnd"/>
      <w:r>
        <w:t xml:space="preserve"> students through specialized instructional methods, cutting-edge assistive technologies, and tailored support services to empower Blind, Deaf, and </w:t>
      </w:r>
      <w:proofErr w:type="spellStart"/>
      <w:r>
        <w:t>DeafBlind</w:t>
      </w:r>
      <w:proofErr w:type="spellEnd"/>
      <w:r>
        <w:t xml:space="preserve"> students to reach their full academic potential. This is attained by emphasizing accountability and a commitment to achieving academic outcomes. The leader achieves employee retention by supporting teachers and principals to achieve shared goals and improve student learning outcomes within the shared vision, values, and philosophical approach. The superintendent uses creative approaches to building talent to support their students in navigating the changing ways that the world connects with the community. The leader recognizes the intersectional nature of inclusion where many students have additional disabilities and has the cultural competence to support diverse backgrounds.</w:t>
      </w:r>
    </w:p>
    <w:p w14:paraId="33854EBD" w14:textId="77777777" w:rsidR="00DD3C3B" w:rsidRDefault="00DD3C3B">
      <w:pPr>
        <w:rPr>
          <w:b/>
        </w:rPr>
      </w:pPr>
    </w:p>
    <w:p w14:paraId="1C2A7038" w14:textId="77777777" w:rsidR="00DD3C3B" w:rsidRDefault="00EE2DF5">
      <w:pPr>
        <w:rPr>
          <w:b/>
        </w:rPr>
      </w:pPr>
      <w:r>
        <w:rPr>
          <w:b/>
        </w:rPr>
        <w:t>Visionary Leader and Advocate</w:t>
      </w:r>
    </w:p>
    <w:p w14:paraId="231FD9BB" w14:textId="77777777" w:rsidR="00DD3C3B" w:rsidRDefault="00EE2DF5">
      <w:r>
        <w:t xml:space="preserve">The superintendent is a resilient visionary who inspires their teams and communities to prepare Blind, Deaf, and </w:t>
      </w:r>
      <w:proofErr w:type="spellStart"/>
      <w:r>
        <w:t>DeafBlind</w:t>
      </w:r>
      <w:proofErr w:type="spellEnd"/>
      <w:r>
        <w:t xml:space="preserve"> students for a successful future through a people-first leadership approach. This role adopts a systemic approach to administrative and supervisory responsibilities. The leader establishes a shared vision with all constituents, is an advocate for </w:t>
      </w:r>
      <w:r>
        <w:lastRenderedPageBreak/>
        <w:t xml:space="preserve">student's rights by recognizing that they face a world of barriers and </w:t>
      </w:r>
      <w:proofErr w:type="gramStart"/>
      <w:r>
        <w:t>attitudes, and</w:t>
      </w:r>
      <w:proofErr w:type="gramEnd"/>
      <w:r>
        <w:t xml:space="preserve"> creates the impetus to address these challenges experienced by Blind, Deaf, or </w:t>
      </w:r>
      <w:proofErr w:type="spellStart"/>
      <w:r>
        <w:t>DeafBlind</w:t>
      </w:r>
      <w:proofErr w:type="spellEnd"/>
      <w:r>
        <w:t xml:space="preserve"> students within the school and throughout the state. The superintendent proactively establishes partnerships and relationships with families, alumni, and community, and with businesses and organizations that stand to benefit from Blind, Deaf, and </w:t>
      </w:r>
      <w:proofErr w:type="spellStart"/>
      <w:r>
        <w:t>DeafBlind</w:t>
      </w:r>
      <w:proofErr w:type="spellEnd"/>
      <w:r>
        <w:t xml:space="preserve"> communities. The leader is visible on campus, throughout the state, and within both the Blind, Deaf, and </w:t>
      </w:r>
      <w:proofErr w:type="spellStart"/>
      <w:r>
        <w:t>DeafBlind</w:t>
      </w:r>
      <w:proofErr w:type="spellEnd"/>
      <w:r>
        <w:t xml:space="preserve"> communities.</w:t>
      </w:r>
    </w:p>
    <w:p w14:paraId="17F0960E" w14:textId="77777777" w:rsidR="00DD3C3B" w:rsidRDefault="00DD3C3B"/>
    <w:p w14:paraId="03B956A1" w14:textId="77777777" w:rsidR="00DD3C3B" w:rsidRDefault="00EE2DF5">
      <w:pPr>
        <w:rPr>
          <w:b/>
        </w:rPr>
      </w:pPr>
      <w:r>
        <w:rPr>
          <w:b/>
        </w:rPr>
        <w:t>Champion for Deaf and Blind Educational Pedagogy</w:t>
      </w:r>
    </w:p>
    <w:p w14:paraId="783D1329" w14:textId="77777777" w:rsidR="00DD3C3B" w:rsidRDefault="00EE2DF5">
      <w:r>
        <w:t xml:space="preserve">The superintendent possesses a strong understanding of building a learning environment that emphasizes bilingual American Sign Language and English education for Deaf and Hard of Hearing students, expanded learning for Blind and Visually Impaired students, and preparing all students for success within the larger community upon graduation. These approaches are grounded on rigorous, evidence-based instruction. The superintendent champions the Expanded Learning Programs designed to teach the Expanded Core Curriculum (ECC) addressing the specialized needs of students who are Blind, Deaf, and </w:t>
      </w:r>
      <w:proofErr w:type="spellStart"/>
      <w:r>
        <w:t>DeafBlind</w:t>
      </w:r>
      <w:proofErr w:type="spellEnd"/>
      <w:r>
        <w:t xml:space="preserve">, empowering them to be lifelong learners inside and outside the traditional classroom. The superintendent promotes and advances the Expanded Learning Programs that teach the Expanded Core Curriculum (ECC) which empowers students to access their education and make their own choices throughout life. The superintendent understands the equal importance of print and braille as potential literacy media for blind and visually impaired students and promotes access to literacy for all students in the media that will allow them the most independence and efficient access to reading material. The superintendent prioritizes the importance of a bilingual environment and education in which school staff who support Deaf and Hard of Hearing students are fluent in both English and American Sign Language, and capable of effectively interacting with students, staff, and the Deaf community. </w:t>
      </w:r>
    </w:p>
    <w:p w14:paraId="5A150055" w14:textId="77777777" w:rsidR="00DD3C3B" w:rsidRDefault="00DD3C3B"/>
    <w:p w14:paraId="72BAA10E" w14:textId="77777777" w:rsidR="00DD3C3B" w:rsidRDefault="00EE2DF5">
      <w:pPr>
        <w:rPr>
          <w:b/>
        </w:rPr>
      </w:pPr>
      <w:r>
        <w:rPr>
          <w:b/>
        </w:rPr>
        <w:t>Advocacy and Relationship Building</w:t>
      </w:r>
    </w:p>
    <w:p w14:paraId="7CC190AA" w14:textId="77777777" w:rsidR="00DD3C3B" w:rsidRDefault="00EE2DF5">
      <w:r>
        <w:t xml:space="preserve">The superintendent strongly advocates for student rights through compelling relationships throughout the state and protects the rights of the students by supporting and implementing legislative </w:t>
      </w:r>
      <w:proofErr w:type="gramStart"/>
      <w:r>
        <w:t>decisions, and</w:t>
      </w:r>
      <w:proofErr w:type="gramEnd"/>
      <w:r>
        <w:t xml:space="preserve"> fostering relationships with key groups. The collective vision that drives the leader encompasses the entire childhood experience of each Blind, Deaf, and </w:t>
      </w:r>
      <w:proofErr w:type="spellStart"/>
      <w:r>
        <w:t>DeafBlind</w:t>
      </w:r>
      <w:proofErr w:type="spellEnd"/>
      <w:r>
        <w:t xml:space="preserve"> child, starting from when they are identified at birth or diagnosis to address critical language and experiential challenges. The superintendent utilizes the perspectives of deaf and blind adults to inform how Blind, Deaf, and </w:t>
      </w:r>
      <w:proofErr w:type="spellStart"/>
      <w:r>
        <w:t>DeafBlind</w:t>
      </w:r>
      <w:proofErr w:type="spellEnd"/>
      <w:r>
        <w:t xml:space="preserve"> students are educated. The leader is deeply committed to the well-being of the students through open and transparent communication in which they actively seek input from and build deep and meaningful relationships with parents, alumni, school personnel, and the community. </w:t>
      </w:r>
    </w:p>
    <w:p w14:paraId="28D7D041" w14:textId="77777777" w:rsidR="00DD3C3B" w:rsidRDefault="00DD3C3B"/>
    <w:p w14:paraId="7A5D293F" w14:textId="77777777" w:rsidR="00DD3C3B" w:rsidRDefault="00EE2DF5">
      <w:pPr>
        <w:rPr>
          <w:b/>
        </w:rPr>
      </w:pPr>
      <w:r>
        <w:rPr>
          <w:b/>
        </w:rPr>
        <w:t>Shared Leadership and Community Partnership</w:t>
      </w:r>
    </w:p>
    <w:p w14:paraId="63045BB5" w14:textId="77777777" w:rsidR="00DD3C3B" w:rsidRDefault="00EE2DF5">
      <w:proofErr w:type="gramStart"/>
      <w:r>
        <w:t>The superintendent values active community engagement,</w:t>
      </w:r>
      <w:proofErr w:type="gramEnd"/>
      <w:r>
        <w:t xml:space="preserve"> understands the continuum of services, and is engaged in the Blind, Deaf, and </w:t>
      </w:r>
      <w:proofErr w:type="spellStart"/>
      <w:r>
        <w:t>DeafBlind</w:t>
      </w:r>
      <w:proofErr w:type="spellEnd"/>
      <w:r>
        <w:t xml:space="preserve"> communities. Engagement goes beyond involvement, where the superintendent creates an environment that asks and listens to Blind, Deaf, and </w:t>
      </w:r>
      <w:proofErr w:type="spellStart"/>
      <w:r>
        <w:t>DeafBlind</w:t>
      </w:r>
      <w:proofErr w:type="spellEnd"/>
      <w:r>
        <w:t xml:space="preserve"> communities about what they want, and what works best for them. The leader builds a team immersed in Deaf culture and the Blind community where they attend </w:t>
      </w:r>
      <w:r>
        <w:lastRenderedPageBreak/>
        <w:t xml:space="preserve">relevant </w:t>
      </w:r>
      <w:proofErr w:type="gramStart"/>
      <w:r>
        <w:t>events, and</w:t>
      </w:r>
      <w:proofErr w:type="gramEnd"/>
      <w:r>
        <w:t xml:space="preserve"> maintain awareness of the challenges faced by both communities. There is a unique call for leadership that builds strong partnerships, respect, and appropriately balanced resources between both organizations, the Iowa School for the Deaf and Iowa Education Services for the Blind and Visually Impaired. The superintendent is actively involved with state and national Blind, Deaf, and </w:t>
      </w:r>
      <w:proofErr w:type="spellStart"/>
      <w:r>
        <w:t>DeafBlind</w:t>
      </w:r>
      <w:proofErr w:type="spellEnd"/>
      <w:r>
        <w:t xml:space="preserve"> organizations and establishes strong relationships with school leaders, staff, and various community groups.</w:t>
      </w:r>
    </w:p>
    <w:p w14:paraId="393F1854" w14:textId="77777777" w:rsidR="00DD3C3B" w:rsidRDefault="00EE2DF5">
      <w:pPr>
        <w:pStyle w:val="Heading1"/>
      </w:pPr>
      <w:bookmarkStart w:id="30" w:name="_gtw2a9s05rfz" w:colFirst="0" w:colLast="0"/>
      <w:bookmarkEnd w:id="30"/>
      <w:r>
        <w:t>Job Description</w:t>
      </w:r>
    </w:p>
    <w:p w14:paraId="449525BB" w14:textId="77777777" w:rsidR="00DD3C3B" w:rsidRDefault="00DD3C3B"/>
    <w:p w14:paraId="28D56142" w14:textId="77777777" w:rsidR="00DD3C3B" w:rsidRDefault="00EE2DF5">
      <w:r>
        <w:t>Required Qualifications</w:t>
      </w:r>
    </w:p>
    <w:p w14:paraId="1D00F127" w14:textId="317A5C4C" w:rsidR="00DD3C3B" w:rsidRDefault="00EE2DF5">
      <w:r>
        <w:t>1. Expertise in serving students who are deaf or hard of hearing (DHH)</w:t>
      </w:r>
    </w:p>
    <w:p w14:paraId="48302648" w14:textId="3E339A2A" w:rsidR="00DD3C3B" w:rsidRDefault="00EE2DF5">
      <w:r>
        <w:t>2. Expertise in serving students who are blind or visually impaired (BVI)</w:t>
      </w:r>
    </w:p>
    <w:p w14:paraId="7A396C13" w14:textId="77777777" w:rsidR="00DD3C3B" w:rsidRDefault="00EE2DF5">
      <w:r>
        <w:t xml:space="preserve">3. </w:t>
      </w:r>
      <w:proofErr w:type="gramStart"/>
      <w:r>
        <w:t>Master’s Degree in Education</w:t>
      </w:r>
      <w:proofErr w:type="gramEnd"/>
      <w:r>
        <w:t>, Special Education, Deaf Education, Visual Impairment,</w:t>
      </w:r>
    </w:p>
    <w:p w14:paraId="07F3FF87" w14:textId="77777777" w:rsidR="00DD3C3B" w:rsidRDefault="00EE2DF5">
      <w:r>
        <w:t>and/or Educational Administration</w:t>
      </w:r>
    </w:p>
    <w:p w14:paraId="369EA3CD" w14:textId="77777777" w:rsidR="00DD3C3B" w:rsidRDefault="00EE2DF5">
      <w:r>
        <w:t>4. Current, or eligible to obtain, Iowa Superintendent licensure</w:t>
      </w:r>
    </w:p>
    <w:p w14:paraId="7EFECD6E" w14:textId="568A797B" w:rsidR="00DD3C3B" w:rsidRDefault="00EE2DF5">
      <w:r>
        <w:t>5. Demonstrates outstanding communication skills (</w:t>
      </w:r>
      <w:r w:rsidR="00CE5855">
        <w:t>written, oral</w:t>
      </w:r>
      <w:r>
        <w:t>, manual)</w:t>
      </w:r>
    </w:p>
    <w:p w14:paraId="101BECA0" w14:textId="77777777" w:rsidR="00DD3C3B" w:rsidRDefault="00DD3C3B"/>
    <w:p w14:paraId="1A516CC0" w14:textId="77777777" w:rsidR="00DD3C3B" w:rsidRDefault="00EE2DF5">
      <w:r>
        <w:t>Preferred Qualifications</w:t>
      </w:r>
    </w:p>
    <w:p w14:paraId="40C5C530" w14:textId="77777777" w:rsidR="00DD3C3B" w:rsidRDefault="00EE2DF5">
      <w:r>
        <w:t>1. Demonstrated success in leading complex educational environments, providing</w:t>
      </w:r>
    </w:p>
    <w:p w14:paraId="7E2A8831" w14:textId="77777777" w:rsidR="00DD3C3B" w:rsidRDefault="00EE2DF5">
      <w:r>
        <w:t>leadership across educational entities to create a seamless education system for</w:t>
      </w:r>
    </w:p>
    <w:p w14:paraId="40B7C420" w14:textId="77777777" w:rsidR="00DD3C3B" w:rsidRDefault="00EE2DF5">
      <w:r>
        <w:t>students who are deaf, or blind, or deafblind through a special school or local school</w:t>
      </w:r>
    </w:p>
    <w:p w14:paraId="64EBD0EC" w14:textId="77777777" w:rsidR="00DD3C3B" w:rsidRDefault="00EE2DF5">
      <w:r>
        <w:t>district</w:t>
      </w:r>
    </w:p>
    <w:p w14:paraId="45BACAA5" w14:textId="77777777" w:rsidR="00DD3C3B" w:rsidRDefault="00EE2DF5">
      <w:r>
        <w:t>2. Teaching or providing direct services to students who are blind or visually impaired</w:t>
      </w:r>
    </w:p>
    <w:p w14:paraId="29FCFEC6" w14:textId="77777777" w:rsidR="00DD3C3B" w:rsidRDefault="00EE2DF5">
      <w:r>
        <w:t>3. Teaching or providing direct services to students who are deaf or hearing impaired</w:t>
      </w:r>
    </w:p>
    <w:p w14:paraId="69C6BBCF" w14:textId="77777777" w:rsidR="00DD3C3B" w:rsidRDefault="00EE2DF5">
      <w:r>
        <w:t>4. Experience in a statewide special education service entity partnering with schools and</w:t>
      </w:r>
    </w:p>
    <w:p w14:paraId="081FD1CA" w14:textId="77777777" w:rsidR="00DD3C3B" w:rsidRDefault="00EE2DF5">
      <w:r>
        <w:t xml:space="preserve">school </w:t>
      </w:r>
      <w:proofErr w:type="gramStart"/>
      <w:r>
        <w:t>districts</w:t>
      </w:r>
      <w:proofErr w:type="gramEnd"/>
    </w:p>
    <w:p w14:paraId="47BFE0D7" w14:textId="77777777" w:rsidR="00DD3C3B" w:rsidRDefault="00EE2DF5">
      <w:r>
        <w:t>5. Experience in a residential school setting</w:t>
      </w:r>
    </w:p>
    <w:p w14:paraId="27216343" w14:textId="77777777" w:rsidR="00DD3C3B" w:rsidRDefault="00EE2DF5">
      <w:r>
        <w:t>6. Fluency in American Sign Language</w:t>
      </w:r>
    </w:p>
    <w:p w14:paraId="46E9BBEF" w14:textId="114CF78F" w:rsidR="00DD3C3B" w:rsidRDefault="00EE2DF5">
      <w:r>
        <w:t>7. Demonstrate</w:t>
      </w:r>
      <w:r w:rsidR="00CE5855">
        <w:t>d</w:t>
      </w:r>
      <w:r>
        <w:t xml:space="preserve"> poise, integrity, ethics, fairness, openness to new ideas, energy and</w:t>
      </w:r>
    </w:p>
    <w:p w14:paraId="0FDB9B51" w14:textId="77777777" w:rsidR="00DD3C3B" w:rsidRDefault="00EE2DF5">
      <w:r>
        <w:t xml:space="preserve">sensitivity to student and staff </w:t>
      </w:r>
      <w:proofErr w:type="gramStart"/>
      <w:r>
        <w:t>needs</w:t>
      </w:r>
      <w:proofErr w:type="gramEnd"/>
    </w:p>
    <w:p w14:paraId="76E21D95" w14:textId="77777777" w:rsidR="00DD3C3B" w:rsidRDefault="00DD3C3B"/>
    <w:p w14:paraId="5B95CEF2" w14:textId="77777777" w:rsidR="00DD3C3B" w:rsidRDefault="00EE2DF5">
      <w:r>
        <w:t xml:space="preserve">Academic Leadership: The Superintendent is accountable to ensure </w:t>
      </w:r>
      <w:proofErr w:type="spellStart"/>
      <w:r>
        <w:t>students</w:t>
      </w:r>
      <w:proofErr w:type="spellEnd"/>
      <w:r>
        <w:t xml:space="preserve"> academic and</w:t>
      </w:r>
    </w:p>
    <w:p w14:paraId="1D30F075" w14:textId="77777777" w:rsidR="00DD3C3B" w:rsidRDefault="00EE2DF5">
      <w:r>
        <w:t>developmental needs are effectively met, resulting in measurable improvement.</w:t>
      </w:r>
    </w:p>
    <w:p w14:paraId="79858A79" w14:textId="77777777" w:rsidR="00DD3C3B" w:rsidRDefault="00EE2DF5">
      <w:r>
        <w:t>1. Provides evidence-based instruction and interventions informed by student proficiency,</w:t>
      </w:r>
    </w:p>
    <w:p w14:paraId="131E3939" w14:textId="77777777" w:rsidR="00DD3C3B" w:rsidRDefault="00EE2DF5">
      <w:r>
        <w:t>growth, and long-term outcomes.</w:t>
      </w:r>
    </w:p>
    <w:p w14:paraId="0985FD87" w14:textId="77777777" w:rsidR="00DD3C3B" w:rsidRDefault="00EE2DF5">
      <w:r>
        <w:t>2. Supports educators with ongoing knowledge development and implementation of</w:t>
      </w:r>
    </w:p>
    <w:p w14:paraId="745BD1E5" w14:textId="77777777" w:rsidR="00DD3C3B" w:rsidRDefault="00EE2DF5">
      <w:r>
        <w:t>academic best practices.</w:t>
      </w:r>
    </w:p>
    <w:p w14:paraId="019044B1" w14:textId="77777777" w:rsidR="00DD3C3B" w:rsidRDefault="00EE2DF5">
      <w:r>
        <w:t>3. Models the application of theory and practices that provide the basis for leading the</w:t>
      </w:r>
    </w:p>
    <w:p w14:paraId="16A7EF94" w14:textId="77777777" w:rsidR="00DD3C3B" w:rsidRDefault="00EE2DF5">
      <w:r>
        <w:t>educational system to improve student learning outcomes.</w:t>
      </w:r>
    </w:p>
    <w:p w14:paraId="439EB9DD" w14:textId="77777777" w:rsidR="00DD3C3B" w:rsidRDefault="00EE2DF5">
      <w:r>
        <w:t>4. Advocates, nurtures, and sustains a school culture and instructional program conducive</w:t>
      </w:r>
    </w:p>
    <w:p w14:paraId="3B4D21FF" w14:textId="77777777" w:rsidR="00DD3C3B" w:rsidRDefault="00EE2DF5">
      <w:r>
        <w:t>to student learning and staff professional growth.</w:t>
      </w:r>
    </w:p>
    <w:p w14:paraId="191E198B" w14:textId="77777777" w:rsidR="00DD3C3B" w:rsidRDefault="00EE2DF5">
      <w:r>
        <w:t>5. Promotes a culture of excellence and celebration of ongoing growth.</w:t>
      </w:r>
    </w:p>
    <w:p w14:paraId="32C69E2C" w14:textId="77777777" w:rsidR="00DD3C3B" w:rsidRDefault="00EE2DF5">
      <w:r>
        <w:t>6. Holds all educators and providers accountable for student progress.</w:t>
      </w:r>
    </w:p>
    <w:p w14:paraId="08AECC10" w14:textId="77777777" w:rsidR="00DD3C3B" w:rsidRDefault="00DD3C3B"/>
    <w:p w14:paraId="34D73FA1" w14:textId="77777777" w:rsidR="00DD3C3B" w:rsidRDefault="00EE2DF5">
      <w:r>
        <w:t xml:space="preserve">Student Services Leadership: The Superintendent provides a high quality, customized </w:t>
      </w:r>
      <w:proofErr w:type="gramStart"/>
      <w:r>
        <w:t>student</w:t>
      </w:r>
      <w:proofErr w:type="gramEnd"/>
    </w:p>
    <w:p w14:paraId="40B0D7B5" w14:textId="77777777" w:rsidR="00DD3C3B" w:rsidRDefault="00EE2DF5">
      <w:r>
        <w:t>experience for each student.</w:t>
      </w:r>
    </w:p>
    <w:p w14:paraId="5B501AE3" w14:textId="77777777" w:rsidR="00DD3C3B" w:rsidRDefault="00EE2DF5">
      <w:r>
        <w:t>1. Applies accurate knowledge of state and federal law in both general and special</w:t>
      </w:r>
    </w:p>
    <w:p w14:paraId="2B245207" w14:textId="77777777" w:rsidR="00DD3C3B" w:rsidRDefault="00EE2DF5">
      <w:r>
        <w:t>education.</w:t>
      </w:r>
    </w:p>
    <w:p w14:paraId="2B6BAF09" w14:textId="4C2F2ABF" w:rsidR="00DD3C3B" w:rsidRDefault="00EE2DF5">
      <w:r>
        <w:t>2. Deploys leadership skills to meet the needs of students w</w:t>
      </w:r>
      <w:r w:rsidR="002D6CC9">
        <w:t>ho are</w:t>
      </w:r>
      <w:r>
        <w:t xml:space="preserve"> DHH and BVI in a diverse</w:t>
      </w:r>
    </w:p>
    <w:p w14:paraId="5D26B39A" w14:textId="77777777" w:rsidR="00DD3C3B" w:rsidRDefault="00EE2DF5">
      <w:r>
        <w:t>community.</w:t>
      </w:r>
    </w:p>
    <w:p w14:paraId="30C4F1CA" w14:textId="77777777" w:rsidR="00DD3C3B" w:rsidRDefault="00EE2DF5">
      <w:r>
        <w:t>3. Actively seeks and applies knowledge of research and best practices in the education of</w:t>
      </w:r>
    </w:p>
    <w:p w14:paraId="0E7C99DE" w14:textId="77777777" w:rsidR="00DD3C3B" w:rsidRDefault="00EE2DF5">
      <w:r>
        <w:t>students who are blind and deaf.</w:t>
      </w:r>
    </w:p>
    <w:p w14:paraId="5D279810" w14:textId="77777777" w:rsidR="00DD3C3B" w:rsidRDefault="00EE2DF5">
      <w:r>
        <w:t>4. Ensures the objectives for residential student life are routinely monitored.</w:t>
      </w:r>
    </w:p>
    <w:p w14:paraId="5301836A" w14:textId="77777777" w:rsidR="00DD3C3B" w:rsidRDefault="00EE2DF5">
      <w:r>
        <w:t>5. Prioritizes high expectations for student learning and developmental outcomes as the</w:t>
      </w:r>
    </w:p>
    <w:p w14:paraId="7C1B5F08" w14:textId="77777777" w:rsidR="00DD3C3B" w:rsidRDefault="00EE2DF5">
      <w:r>
        <w:t>driving force in all decisions.</w:t>
      </w:r>
    </w:p>
    <w:p w14:paraId="4119BAD4" w14:textId="77777777" w:rsidR="00DD3C3B" w:rsidRDefault="00DD3C3B"/>
    <w:p w14:paraId="132139B3" w14:textId="77777777" w:rsidR="00DD3C3B" w:rsidRDefault="00EE2DF5">
      <w:r>
        <w:t>Community Leadership: The Superintendent engages stakeholders in ISD/ IESBVI.</w:t>
      </w:r>
    </w:p>
    <w:p w14:paraId="7CAF43F7" w14:textId="77777777" w:rsidR="00DD3C3B" w:rsidRDefault="00EE2DF5">
      <w:r>
        <w:t>1. Communicates proactively with students, families, staff, community members, and the</w:t>
      </w:r>
    </w:p>
    <w:p w14:paraId="6ACF66EB" w14:textId="77777777" w:rsidR="00DD3C3B" w:rsidRDefault="00EE2DF5">
      <w:r>
        <w:t>Department of Education to ensure all stakeholders are informed and included in</w:t>
      </w:r>
    </w:p>
    <w:p w14:paraId="31AC3FE1" w14:textId="77777777" w:rsidR="00DD3C3B" w:rsidRDefault="00EE2DF5">
      <w:r>
        <w:t>relevant information in a timely manner.</w:t>
      </w:r>
    </w:p>
    <w:p w14:paraId="381B73FB" w14:textId="77777777" w:rsidR="00DD3C3B" w:rsidRDefault="00EE2DF5">
      <w:r>
        <w:t>2. Demonstrates understanding of the context around educating students with visual and</w:t>
      </w:r>
    </w:p>
    <w:p w14:paraId="103D247A" w14:textId="77777777" w:rsidR="00DD3C3B" w:rsidRDefault="00EE2DF5">
      <w:r>
        <w:t>auditory impairments.</w:t>
      </w:r>
    </w:p>
    <w:p w14:paraId="14AD09F4" w14:textId="77777777" w:rsidR="00DD3C3B" w:rsidRDefault="00EE2DF5">
      <w:r>
        <w:t>3. Develops partnerships with state agencies and local school districts in providing</w:t>
      </w:r>
    </w:p>
    <w:p w14:paraId="4D63A0DE" w14:textId="77777777" w:rsidR="00DD3C3B" w:rsidRDefault="00EE2DF5">
      <w:r>
        <w:t>appropriate programs and services to students who are deaf, or blind, or deafblind at</w:t>
      </w:r>
    </w:p>
    <w:p w14:paraId="021F4C94" w14:textId="77777777" w:rsidR="00DD3C3B" w:rsidRDefault="00EE2DF5">
      <w:r>
        <w:t>various points in the continuum of services state-wide.</w:t>
      </w:r>
    </w:p>
    <w:p w14:paraId="05C97AC6" w14:textId="77777777" w:rsidR="00DD3C3B" w:rsidRDefault="00EE2DF5">
      <w:r>
        <w:t>4. Administers intervention and outreach programs and services, including family</w:t>
      </w:r>
    </w:p>
    <w:p w14:paraId="1D77A978" w14:textId="77777777" w:rsidR="00DD3C3B" w:rsidRDefault="00EE2DF5">
      <w:r>
        <w:t>involvement and cooperative agreements with other agencies who serve infants and</w:t>
      </w:r>
    </w:p>
    <w:p w14:paraId="12AD192A" w14:textId="77777777" w:rsidR="00DD3C3B" w:rsidRDefault="00EE2DF5">
      <w:r>
        <w:t>young children.</w:t>
      </w:r>
    </w:p>
    <w:p w14:paraId="15AB116A" w14:textId="77777777" w:rsidR="00DD3C3B" w:rsidRDefault="00DD3C3B"/>
    <w:p w14:paraId="5EC7C8FA" w14:textId="77777777" w:rsidR="00DD3C3B" w:rsidRDefault="00EE2DF5">
      <w:r>
        <w:t>Human Resources Leadership: The Superintendent applies the principles of Human Resources</w:t>
      </w:r>
    </w:p>
    <w:p w14:paraId="317604E0" w14:textId="77777777" w:rsidR="00DD3C3B" w:rsidRDefault="00EE2DF5">
      <w:r>
        <w:t>to effectively build, support, and hold the workforce to high standards.</w:t>
      </w:r>
    </w:p>
    <w:p w14:paraId="17A5C7FD" w14:textId="77777777" w:rsidR="00DD3C3B" w:rsidRDefault="00EE2DF5">
      <w:r>
        <w:t>1. Ensures effective systems to recruit, train, develop, support, and evaluate staff to</w:t>
      </w:r>
    </w:p>
    <w:p w14:paraId="4DF5FABE" w14:textId="77777777" w:rsidR="00DD3C3B" w:rsidRDefault="00EE2DF5">
      <w:r>
        <w:t>provide the highest quality work.</w:t>
      </w:r>
    </w:p>
    <w:p w14:paraId="70A12FF3" w14:textId="77777777" w:rsidR="00DD3C3B" w:rsidRDefault="00EE2DF5">
      <w:r>
        <w:t>2. Promotes employee retention through ongoing development.</w:t>
      </w:r>
    </w:p>
    <w:p w14:paraId="72B970D0" w14:textId="77777777" w:rsidR="00DD3C3B" w:rsidRDefault="00EE2DF5">
      <w:r>
        <w:t>3. Adheres to all legal processes and procedures for fair hiring and supervisory practices.</w:t>
      </w:r>
    </w:p>
    <w:p w14:paraId="4F29DF36" w14:textId="77777777" w:rsidR="00DD3C3B" w:rsidRDefault="00EE2DF5">
      <w:r>
        <w:t>4. Facilitates the resolution of employee issues.</w:t>
      </w:r>
    </w:p>
    <w:p w14:paraId="1464FA01" w14:textId="77777777" w:rsidR="00DD3C3B" w:rsidRDefault="00DD3C3B"/>
    <w:p w14:paraId="00D7B49C" w14:textId="77777777" w:rsidR="00DD3C3B" w:rsidRDefault="00EE2DF5">
      <w:r>
        <w:t>Operations Management: The Superintendent ensures the organizational process and</w:t>
      </w:r>
    </w:p>
    <w:p w14:paraId="6E3879A5" w14:textId="77777777" w:rsidR="00DD3C3B" w:rsidRDefault="00EE2DF5">
      <w:r>
        <w:t>resources result in a safe, efficient, and effective learning environment.</w:t>
      </w:r>
    </w:p>
    <w:p w14:paraId="079F98E5" w14:textId="77777777" w:rsidR="00DD3C3B" w:rsidRDefault="00EE2DF5">
      <w:r>
        <w:t>1. Ensures compliance with federal, state, and local policies.</w:t>
      </w:r>
    </w:p>
    <w:p w14:paraId="10B94211" w14:textId="4887C56A" w:rsidR="00DD3C3B" w:rsidRDefault="00EE2DF5">
      <w:r>
        <w:t>2. Provide</w:t>
      </w:r>
      <w:r w:rsidR="002D6CC9">
        <w:t>s</w:t>
      </w:r>
      <w:r>
        <w:t xml:space="preserve"> active oversight of transportation, nutrition, medical services, and facilities.</w:t>
      </w:r>
    </w:p>
    <w:p w14:paraId="2E28347C" w14:textId="77777777" w:rsidR="00DD3C3B" w:rsidRDefault="00EE2DF5">
      <w:r>
        <w:t>3. Trains all staff and students on safety protocols and procedures.</w:t>
      </w:r>
    </w:p>
    <w:p w14:paraId="57723643" w14:textId="77777777" w:rsidR="00DD3C3B" w:rsidRDefault="00EE2DF5">
      <w:r>
        <w:t>4. Ensures emergency preparedness.</w:t>
      </w:r>
    </w:p>
    <w:p w14:paraId="5398918A" w14:textId="77777777" w:rsidR="00DD3C3B" w:rsidRDefault="00DD3C3B"/>
    <w:p w14:paraId="1F1435E0" w14:textId="77777777" w:rsidR="00DD3C3B" w:rsidRDefault="00EE2DF5">
      <w:r>
        <w:t xml:space="preserve">Financial Management: The Superintendent is accountable to ensure </w:t>
      </w:r>
      <w:proofErr w:type="gramStart"/>
      <w:r>
        <w:t>comprehensive</w:t>
      </w:r>
      <w:proofErr w:type="gramEnd"/>
    </w:p>
    <w:p w14:paraId="65638493" w14:textId="77777777" w:rsidR="00DD3C3B" w:rsidRDefault="00EE2DF5">
      <w:r>
        <w:t>compliance, responsible resource allocation, and fiscal stewardship.</w:t>
      </w:r>
    </w:p>
    <w:p w14:paraId="35E1F011" w14:textId="77777777" w:rsidR="00DD3C3B" w:rsidRDefault="00EE2DF5">
      <w:r>
        <w:t>1. Adheres to all compliance requirements for federal, state, and local funding sources.</w:t>
      </w:r>
    </w:p>
    <w:p w14:paraId="37C38EE6" w14:textId="77777777" w:rsidR="00DD3C3B" w:rsidRDefault="00EE2DF5">
      <w:r>
        <w:lastRenderedPageBreak/>
        <w:t>2. Provides active oversight for compliance with all record keeping and procedural</w:t>
      </w:r>
    </w:p>
    <w:p w14:paraId="644DD569" w14:textId="77777777" w:rsidR="00DD3C3B" w:rsidRDefault="00EE2DF5">
      <w:r>
        <w:t>Requirements.</w:t>
      </w:r>
    </w:p>
    <w:p w14:paraId="1900FE67" w14:textId="77777777" w:rsidR="00DD3C3B" w:rsidRDefault="00DD3C3B"/>
    <w:p w14:paraId="562C866A" w14:textId="77777777" w:rsidR="00DD3C3B" w:rsidRDefault="00EE2DF5">
      <w:r>
        <w:t>Organizational Leadership: The Superintendent deploys organizational development tools to</w:t>
      </w:r>
    </w:p>
    <w:p w14:paraId="052D77EA" w14:textId="77777777" w:rsidR="00DD3C3B" w:rsidRDefault="00EE2DF5">
      <w:r>
        <w:t>advance ISD/IESBVI’s vision and mission.</w:t>
      </w:r>
    </w:p>
    <w:p w14:paraId="3C5DF299" w14:textId="77777777" w:rsidR="00DD3C3B" w:rsidRDefault="00EE2DF5">
      <w:r>
        <w:t>1. Develop and implement a shared vision of learning through articulation, implementation,</w:t>
      </w:r>
    </w:p>
    <w:p w14:paraId="7B309FF6" w14:textId="77777777" w:rsidR="00DD3C3B" w:rsidRDefault="00EE2DF5">
      <w:r>
        <w:t>and stewardship.</w:t>
      </w:r>
    </w:p>
    <w:p w14:paraId="13758C0B" w14:textId="77777777" w:rsidR="00DD3C3B" w:rsidRDefault="00EE2DF5">
      <w:r>
        <w:t>2. Collaborate with stakeholders to set and systematically advance the goals of both ISD</w:t>
      </w:r>
    </w:p>
    <w:p w14:paraId="1F8A3639" w14:textId="77777777" w:rsidR="00DD3C3B" w:rsidRDefault="00EE2DF5">
      <w:r>
        <w:t>and IESBVI.</w:t>
      </w:r>
    </w:p>
    <w:p w14:paraId="144EF357" w14:textId="77777777" w:rsidR="00DD3C3B" w:rsidRDefault="00EE2DF5">
      <w:r>
        <w:t>3. Align systems and services with statewide services and agencies.</w:t>
      </w:r>
    </w:p>
    <w:p w14:paraId="33DA00C9" w14:textId="77777777" w:rsidR="00DD3C3B" w:rsidRDefault="00EE2DF5">
      <w:r>
        <w:t>4. Engage affected stakeholders with design of implementation processes.</w:t>
      </w:r>
    </w:p>
    <w:p w14:paraId="4D5CF0FE" w14:textId="77777777" w:rsidR="00DD3C3B" w:rsidRDefault="00EE2DF5">
      <w:pPr>
        <w:pStyle w:val="Heading1"/>
      </w:pPr>
      <w:bookmarkStart w:id="31" w:name="_8rsc67z94l2j" w:colFirst="0" w:colLast="0"/>
      <w:bookmarkEnd w:id="31"/>
      <w:r>
        <w:t>How to Apply</w:t>
      </w:r>
    </w:p>
    <w:p w14:paraId="01960F2D" w14:textId="77777777" w:rsidR="00DD3C3B" w:rsidRDefault="00DD3C3B"/>
    <w:p w14:paraId="74D0EF16" w14:textId="6255F205" w:rsidR="00DD3C3B" w:rsidRDefault="00EE2DF5">
      <w:r>
        <w:t>PLEASE SEND ALL QUESTIONS, NOMINATIONS,</w:t>
      </w:r>
    </w:p>
    <w:p w14:paraId="0E71129C" w14:textId="77777777" w:rsidR="00DD3C3B" w:rsidRDefault="00EE2DF5">
      <w:r>
        <w:t>AND APPLICATIONS TO:</w:t>
      </w:r>
    </w:p>
    <w:p w14:paraId="22E3B407" w14:textId="77777777" w:rsidR="00DD3C3B" w:rsidRDefault="00EE2DF5">
      <w:r>
        <w:t>Shane Feldman, Chief Executive Officer</w:t>
      </w:r>
    </w:p>
    <w:p w14:paraId="147E43B7" w14:textId="77777777" w:rsidR="00DD3C3B" w:rsidRDefault="00EE2DF5">
      <w:r>
        <w:t>Innivee Strategies, Inc.</w:t>
      </w:r>
    </w:p>
    <w:p w14:paraId="4AF88EC8" w14:textId="77777777" w:rsidR="00DD3C3B" w:rsidRDefault="00EE2DF5">
      <w:r>
        <w:t>apply@innivee.com</w:t>
      </w:r>
    </w:p>
    <w:p w14:paraId="3C8A7D8D" w14:textId="77777777" w:rsidR="00DD3C3B" w:rsidRDefault="00EE2DF5">
      <w:r>
        <w:t xml:space="preserve">Interested candidates should submit a cover letter, resume, and three references to apply@innivee.com. All applications submitted by March 24, </w:t>
      </w:r>
      <w:proofErr w:type="gramStart"/>
      <w:r>
        <w:t>2024</w:t>
      </w:r>
      <w:proofErr w:type="gramEnd"/>
      <w:r>
        <w:t xml:space="preserve"> at 12:00 pm CST, will receive full consideration.</w:t>
      </w:r>
    </w:p>
    <w:p w14:paraId="27FF5D78" w14:textId="77777777" w:rsidR="00DD3C3B" w:rsidRDefault="00DD3C3B"/>
    <w:p w14:paraId="0AB196DE" w14:textId="2BD4AB7D" w:rsidR="00DD3C3B" w:rsidRDefault="00EE2DF5">
      <w:r>
        <w:t>Diversity Statement</w:t>
      </w:r>
    </w:p>
    <w:p w14:paraId="59F5870F" w14:textId="77777777" w:rsidR="00DD3C3B" w:rsidRDefault="00EE2DF5">
      <w:pPr>
        <w:rPr>
          <w:highlight w:val="yellow"/>
        </w:rPr>
      </w:pPr>
      <w:r>
        <w:t>It is the policy of the executive branch of state government in the State of Iowa to “Provide equal employment opportunity within state government to all persons.” (Iowa Code chapter 19B.) The intent of this policy is to ensure that individuals are not denied equal access to state employment opportunities because of their race, creed, color, religion, sex, national origin, age, physical or mental disability, sexual orientation, gender identity, pregnancy or pregnancy-related condition, consistent with applicable state and federal policies and regulations. It is also the policy of the executive branch of state government in the State of Iowa to apply affirmative action measures to correct the underutilization of females, minorities, and persons with disabilities in the state employment system whenever remedial measures are appropriate.</w:t>
      </w:r>
    </w:p>
    <w:sectPr w:rsidR="00DD3C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4275"/>
    <w:multiLevelType w:val="multilevel"/>
    <w:tmpl w:val="7F4C1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262E18"/>
    <w:multiLevelType w:val="multilevel"/>
    <w:tmpl w:val="1F14B3C2"/>
    <w:lvl w:ilvl="0">
      <w:start w:val="1"/>
      <w:numFmt w:val="bullet"/>
      <w:lvlText w:val="◇"/>
      <w:lvlJc w:val="left"/>
      <w:pPr>
        <w:ind w:left="940" w:hanging="360"/>
      </w:pPr>
      <w:rPr>
        <w:rFonts w:ascii="Calibri" w:eastAsia="Calibri" w:hAnsi="Calibri" w:cs="Calibri"/>
        <w:b/>
        <w:sz w:val="19"/>
        <w:szCs w:val="19"/>
      </w:rPr>
    </w:lvl>
    <w:lvl w:ilvl="1">
      <w:start w:val="1"/>
      <w:numFmt w:val="bullet"/>
      <w:lvlText w:val="•"/>
      <w:lvlJc w:val="left"/>
      <w:pPr>
        <w:ind w:left="1754" w:hanging="360"/>
      </w:pPr>
    </w:lvl>
    <w:lvl w:ilvl="2">
      <w:start w:val="1"/>
      <w:numFmt w:val="bullet"/>
      <w:lvlText w:val="•"/>
      <w:lvlJc w:val="left"/>
      <w:pPr>
        <w:ind w:left="2568" w:hanging="360"/>
      </w:pPr>
    </w:lvl>
    <w:lvl w:ilvl="3">
      <w:start w:val="1"/>
      <w:numFmt w:val="bullet"/>
      <w:lvlText w:val="•"/>
      <w:lvlJc w:val="left"/>
      <w:pPr>
        <w:ind w:left="3382" w:hanging="360"/>
      </w:pPr>
    </w:lvl>
    <w:lvl w:ilvl="4">
      <w:start w:val="1"/>
      <w:numFmt w:val="bullet"/>
      <w:lvlText w:val="•"/>
      <w:lvlJc w:val="left"/>
      <w:pPr>
        <w:ind w:left="4196" w:hanging="360"/>
      </w:pPr>
    </w:lvl>
    <w:lvl w:ilvl="5">
      <w:start w:val="1"/>
      <w:numFmt w:val="bullet"/>
      <w:lvlText w:val="•"/>
      <w:lvlJc w:val="left"/>
      <w:pPr>
        <w:ind w:left="5010" w:hanging="360"/>
      </w:pPr>
    </w:lvl>
    <w:lvl w:ilvl="6">
      <w:start w:val="1"/>
      <w:numFmt w:val="bullet"/>
      <w:lvlText w:val="•"/>
      <w:lvlJc w:val="left"/>
      <w:pPr>
        <w:ind w:left="5824" w:hanging="360"/>
      </w:pPr>
    </w:lvl>
    <w:lvl w:ilvl="7">
      <w:start w:val="1"/>
      <w:numFmt w:val="bullet"/>
      <w:lvlText w:val="•"/>
      <w:lvlJc w:val="left"/>
      <w:pPr>
        <w:ind w:left="6638" w:hanging="360"/>
      </w:pPr>
    </w:lvl>
    <w:lvl w:ilvl="8">
      <w:start w:val="1"/>
      <w:numFmt w:val="bullet"/>
      <w:lvlText w:val="•"/>
      <w:lvlJc w:val="left"/>
      <w:pPr>
        <w:ind w:left="7452" w:hanging="360"/>
      </w:pPr>
    </w:lvl>
  </w:abstractNum>
  <w:abstractNum w:abstractNumId="2" w15:restartNumberingAfterBreak="0">
    <w:nsid w:val="37AE474E"/>
    <w:multiLevelType w:val="multilevel"/>
    <w:tmpl w:val="75E07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D64289"/>
    <w:multiLevelType w:val="multilevel"/>
    <w:tmpl w:val="941EEE70"/>
    <w:lvl w:ilvl="0">
      <w:start w:val="1"/>
      <w:numFmt w:val="bullet"/>
      <w:lvlText w:val="◇"/>
      <w:lvlJc w:val="left"/>
      <w:pPr>
        <w:ind w:left="940" w:hanging="360"/>
      </w:pPr>
      <w:rPr>
        <w:rFonts w:ascii="Calibri" w:eastAsia="Calibri" w:hAnsi="Calibri" w:cs="Calibri"/>
        <w:b/>
        <w:sz w:val="19"/>
        <w:szCs w:val="19"/>
      </w:rPr>
    </w:lvl>
    <w:lvl w:ilvl="1">
      <w:start w:val="1"/>
      <w:numFmt w:val="bullet"/>
      <w:lvlText w:val="•"/>
      <w:lvlJc w:val="left"/>
      <w:pPr>
        <w:ind w:left="1754" w:hanging="360"/>
      </w:pPr>
    </w:lvl>
    <w:lvl w:ilvl="2">
      <w:start w:val="1"/>
      <w:numFmt w:val="bullet"/>
      <w:lvlText w:val="•"/>
      <w:lvlJc w:val="left"/>
      <w:pPr>
        <w:ind w:left="2568" w:hanging="360"/>
      </w:pPr>
    </w:lvl>
    <w:lvl w:ilvl="3">
      <w:start w:val="1"/>
      <w:numFmt w:val="bullet"/>
      <w:lvlText w:val="•"/>
      <w:lvlJc w:val="left"/>
      <w:pPr>
        <w:ind w:left="3382" w:hanging="360"/>
      </w:pPr>
    </w:lvl>
    <w:lvl w:ilvl="4">
      <w:start w:val="1"/>
      <w:numFmt w:val="bullet"/>
      <w:lvlText w:val="•"/>
      <w:lvlJc w:val="left"/>
      <w:pPr>
        <w:ind w:left="4196" w:hanging="360"/>
      </w:pPr>
    </w:lvl>
    <w:lvl w:ilvl="5">
      <w:start w:val="1"/>
      <w:numFmt w:val="bullet"/>
      <w:lvlText w:val="•"/>
      <w:lvlJc w:val="left"/>
      <w:pPr>
        <w:ind w:left="5010" w:hanging="360"/>
      </w:pPr>
    </w:lvl>
    <w:lvl w:ilvl="6">
      <w:start w:val="1"/>
      <w:numFmt w:val="bullet"/>
      <w:lvlText w:val="•"/>
      <w:lvlJc w:val="left"/>
      <w:pPr>
        <w:ind w:left="5824" w:hanging="360"/>
      </w:pPr>
    </w:lvl>
    <w:lvl w:ilvl="7">
      <w:start w:val="1"/>
      <w:numFmt w:val="bullet"/>
      <w:lvlText w:val="•"/>
      <w:lvlJc w:val="left"/>
      <w:pPr>
        <w:ind w:left="6638" w:hanging="360"/>
      </w:pPr>
    </w:lvl>
    <w:lvl w:ilvl="8">
      <w:start w:val="1"/>
      <w:numFmt w:val="bullet"/>
      <w:lvlText w:val="•"/>
      <w:lvlJc w:val="left"/>
      <w:pPr>
        <w:ind w:left="7452" w:hanging="360"/>
      </w:pPr>
    </w:lvl>
  </w:abstractNum>
  <w:abstractNum w:abstractNumId="4" w15:restartNumberingAfterBreak="0">
    <w:nsid w:val="65054FBA"/>
    <w:multiLevelType w:val="multilevel"/>
    <w:tmpl w:val="92E4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D14CCD"/>
    <w:multiLevelType w:val="multilevel"/>
    <w:tmpl w:val="38CEC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0657729">
    <w:abstractNumId w:val="3"/>
  </w:num>
  <w:num w:numId="2" w16cid:durableId="1673142414">
    <w:abstractNumId w:val="4"/>
  </w:num>
  <w:num w:numId="3" w16cid:durableId="1003969609">
    <w:abstractNumId w:val="5"/>
  </w:num>
  <w:num w:numId="4" w16cid:durableId="1845704553">
    <w:abstractNumId w:val="2"/>
  </w:num>
  <w:num w:numId="5" w16cid:durableId="800853742">
    <w:abstractNumId w:val="1"/>
  </w:num>
  <w:num w:numId="6" w16cid:durableId="206452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3B"/>
    <w:rsid w:val="00096C89"/>
    <w:rsid w:val="001100A9"/>
    <w:rsid w:val="0015272C"/>
    <w:rsid w:val="001D5A2F"/>
    <w:rsid w:val="002639DF"/>
    <w:rsid w:val="002D6CC9"/>
    <w:rsid w:val="002F6176"/>
    <w:rsid w:val="003B1B56"/>
    <w:rsid w:val="005076E9"/>
    <w:rsid w:val="005260D2"/>
    <w:rsid w:val="005749E7"/>
    <w:rsid w:val="00613926"/>
    <w:rsid w:val="006453B4"/>
    <w:rsid w:val="00663BDD"/>
    <w:rsid w:val="0073738B"/>
    <w:rsid w:val="00775A93"/>
    <w:rsid w:val="007765C2"/>
    <w:rsid w:val="007A64CB"/>
    <w:rsid w:val="007B12F4"/>
    <w:rsid w:val="00805C1B"/>
    <w:rsid w:val="00894D62"/>
    <w:rsid w:val="008D5EC0"/>
    <w:rsid w:val="00A23EBF"/>
    <w:rsid w:val="00AA42ED"/>
    <w:rsid w:val="00AD13A8"/>
    <w:rsid w:val="00AE550F"/>
    <w:rsid w:val="00B04659"/>
    <w:rsid w:val="00B523CF"/>
    <w:rsid w:val="00B75995"/>
    <w:rsid w:val="00BC3029"/>
    <w:rsid w:val="00BE6530"/>
    <w:rsid w:val="00C729B0"/>
    <w:rsid w:val="00CB0628"/>
    <w:rsid w:val="00CE5855"/>
    <w:rsid w:val="00D138B0"/>
    <w:rsid w:val="00DD0DCA"/>
    <w:rsid w:val="00DD3C3B"/>
    <w:rsid w:val="00EB3B6C"/>
    <w:rsid w:val="00EE2DF5"/>
    <w:rsid w:val="00F9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580D"/>
  <w15:docId w15:val="{66DC899F-1922-0647-A149-86E63916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B75995"/>
    <w:pPr>
      <w:spacing w:after="200" w:line="240" w:lineRule="auto"/>
    </w:pPr>
    <w:rPr>
      <w:i/>
      <w:iCs/>
      <w:color w:val="1F497D" w:themeColor="text2"/>
      <w:sz w:val="18"/>
      <w:szCs w:val="18"/>
    </w:rPr>
  </w:style>
  <w:style w:type="table" w:styleId="TableGrid">
    <w:name w:val="Table Grid"/>
    <w:basedOn w:val="TableNormal"/>
    <w:uiPriority w:val="39"/>
    <w:rsid w:val="00B046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5264">
      <w:bodyDiv w:val="1"/>
      <w:marLeft w:val="0"/>
      <w:marRight w:val="0"/>
      <w:marTop w:val="0"/>
      <w:marBottom w:val="0"/>
      <w:divBdr>
        <w:top w:val="none" w:sz="0" w:space="0" w:color="auto"/>
        <w:left w:val="none" w:sz="0" w:space="0" w:color="auto"/>
        <w:bottom w:val="none" w:sz="0" w:space="0" w:color="auto"/>
        <w:right w:val="none" w:sz="0" w:space="0" w:color="auto"/>
      </w:divBdr>
    </w:div>
    <w:div w:id="539169319">
      <w:bodyDiv w:val="1"/>
      <w:marLeft w:val="0"/>
      <w:marRight w:val="0"/>
      <w:marTop w:val="0"/>
      <w:marBottom w:val="0"/>
      <w:divBdr>
        <w:top w:val="none" w:sz="0" w:space="0" w:color="auto"/>
        <w:left w:val="none" w:sz="0" w:space="0" w:color="auto"/>
        <w:bottom w:val="none" w:sz="0" w:space="0" w:color="auto"/>
        <w:right w:val="none" w:sz="0" w:space="0" w:color="auto"/>
      </w:divBdr>
    </w:div>
    <w:div w:id="966591896">
      <w:bodyDiv w:val="1"/>
      <w:marLeft w:val="0"/>
      <w:marRight w:val="0"/>
      <w:marTop w:val="0"/>
      <w:marBottom w:val="0"/>
      <w:divBdr>
        <w:top w:val="none" w:sz="0" w:space="0" w:color="auto"/>
        <w:left w:val="none" w:sz="0" w:space="0" w:color="auto"/>
        <w:bottom w:val="none" w:sz="0" w:space="0" w:color="auto"/>
        <w:right w:val="none" w:sz="0" w:space="0" w:color="auto"/>
      </w:divBdr>
    </w:div>
    <w:div w:id="1507164082">
      <w:bodyDiv w:val="1"/>
      <w:marLeft w:val="0"/>
      <w:marRight w:val="0"/>
      <w:marTop w:val="0"/>
      <w:marBottom w:val="0"/>
      <w:divBdr>
        <w:top w:val="none" w:sz="0" w:space="0" w:color="auto"/>
        <w:left w:val="none" w:sz="0" w:space="0" w:color="auto"/>
        <w:bottom w:val="none" w:sz="0" w:space="0" w:color="auto"/>
        <w:right w:val="none" w:sz="0" w:space="0" w:color="auto"/>
      </w:divBdr>
    </w:div>
    <w:div w:id="1611475070">
      <w:bodyDiv w:val="1"/>
      <w:marLeft w:val="0"/>
      <w:marRight w:val="0"/>
      <w:marTop w:val="0"/>
      <w:marBottom w:val="0"/>
      <w:divBdr>
        <w:top w:val="none" w:sz="0" w:space="0" w:color="auto"/>
        <w:left w:val="none" w:sz="0" w:space="0" w:color="auto"/>
        <w:bottom w:val="none" w:sz="0" w:space="0" w:color="auto"/>
        <w:right w:val="none" w:sz="0" w:space="0" w:color="auto"/>
      </w:divBdr>
    </w:div>
    <w:div w:id="1892501925">
      <w:bodyDiv w:val="1"/>
      <w:marLeft w:val="0"/>
      <w:marRight w:val="0"/>
      <w:marTop w:val="0"/>
      <w:marBottom w:val="0"/>
      <w:divBdr>
        <w:top w:val="none" w:sz="0" w:space="0" w:color="auto"/>
        <w:left w:val="none" w:sz="0" w:space="0" w:color="auto"/>
        <w:bottom w:val="none" w:sz="0" w:space="0" w:color="auto"/>
        <w:right w:val="none" w:sz="0" w:space="0" w:color="auto"/>
      </w:divBdr>
    </w:div>
    <w:div w:id="1931809938">
      <w:bodyDiv w:val="1"/>
      <w:marLeft w:val="0"/>
      <w:marRight w:val="0"/>
      <w:marTop w:val="0"/>
      <w:marBottom w:val="0"/>
      <w:divBdr>
        <w:top w:val="none" w:sz="0" w:space="0" w:color="auto"/>
        <w:left w:val="none" w:sz="0" w:space="0" w:color="auto"/>
        <w:bottom w:val="none" w:sz="0" w:space="0" w:color="auto"/>
        <w:right w:val="none" w:sz="0" w:space="0" w:color="auto"/>
      </w:divBdr>
    </w:div>
    <w:div w:id="2136412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2B5E4-9639-634D-BD49-398C0A43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5575</Words>
  <Characters>31783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accred.feldman</cp:lastModifiedBy>
  <cp:revision>2</cp:revision>
  <dcterms:created xsi:type="dcterms:W3CDTF">2024-02-20T21:33:00Z</dcterms:created>
  <dcterms:modified xsi:type="dcterms:W3CDTF">2024-02-20T21:33:00Z</dcterms:modified>
</cp:coreProperties>
</file>