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sz w:val="34"/>
          <w:szCs w:val="34"/>
        </w:rPr>
      </w:pPr>
      <w:bookmarkStart w:colFirst="0" w:colLast="0" w:name="_944meyceuchm" w:id="0"/>
      <w:bookmarkEnd w:id="0"/>
      <w:r w:rsidDel="00000000" w:rsidR="00000000" w:rsidRPr="00000000">
        <w:rPr>
          <w:sz w:val="34"/>
          <w:szCs w:val="34"/>
          <w:rtl w:val="0"/>
        </w:rPr>
        <w:t xml:space="preserve">Justification for Attending the</w:t>
        <w:br w:type="textWrapping"/>
        <w:t xml:space="preserve">Deaf Organization Executives Summit (DOES) 2024</w:t>
      </w:r>
    </w:p>
    <w:p w:rsidR="00000000" w:rsidDel="00000000" w:rsidP="00000000" w:rsidRDefault="00000000" w:rsidRPr="00000000" w14:paraId="00000002">
      <w:pPr>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Dear [</w:t>
      </w:r>
      <w:r w:rsidDel="00000000" w:rsidR="00000000" w:rsidRPr="00000000">
        <w:rPr>
          <w:highlight w:val="yellow"/>
          <w:rtl w:val="0"/>
        </w:rPr>
        <w:t xml:space="preserve">Name of Direct Supervisor</w:t>
      </w:r>
      <w:r w:rsidDel="00000000" w:rsidR="00000000" w:rsidRPr="00000000">
        <w:rPr>
          <w:rtl w:val="0"/>
        </w:rPr>
        <w:t xml:space="preserve">],</w:t>
      </w:r>
    </w:p>
    <w:p w:rsidR="00000000" w:rsidDel="00000000" w:rsidP="00000000" w:rsidRDefault="00000000" w:rsidRPr="00000000" w14:paraId="00000004">
      <w:pPr>
        <w:spacing w:after="0" w:before="0" w:lineRule="auto"/>
        <w:rPr/>
      </w:pPr>
      <w:r w:rsidDel="00000000" w:rsidR="00000000" w:rsidRPr="00000000">
        <w:rPr>
          <w:rtl w:val="0"/>
        </w:rPr>
      </w:r>
    </w:p>
    <w:p w:rsidR="00000000" w:rsidDel="00000000" w:rsidP="00000000" w:rsidRDefault="00000000" w:rsidRPr="00000000" w14:paraId="00000005">
      <w:pPr>
        <w:spacing w:after="0" w:before="0" w:lineRule="auto"/>
        <w:rPr/>
      </w:pPr>
      <w:r w:rsidDel="00000000" w:rsidR="00000000" w:rsidRPr="00000000">
        <w:rPr>
          <w:rtl w:val="0"/>
        </w:rPr>
        <w:t xml:space="preserve">I am writing to request approval and budgetary support to attend the Deaf Organization Executives Summit (DOES) 2024, a pivotal leadership event scheduled for November 7-8, 2024 in New Orleans, Louisiana. This exclusive summit, organized by Innivee Strategies, is tailored for executives like myself who are at the forefront of organizations serving the Deaf, DeafBlind and Hard of Hearing communities.</w:t>
      </w:r>
    </w:p>
    <w:p w:rsidR="00000000" w:rsidDel="00000000" w:rsidP="00000000" w:rsidRDefault="00000000" w:rsidRPr="00000000" w14:paraId="00000006">
      <w:pPr>
        <w:spacing w:after="0" w:before="0" w:lineRule="auto"/>
        <w:rPr/>
      </w:pPr>
      <w:r w:rsidDel="00000000" w:rsidR="00000000" w:rsidRPr="00000000">
        <w:rPr>
          <w:rtl w:val="0"/>
        </w:rPr>
      </w:r>
    </w:p>
    <w:p w:rsidR="00000000" w:rsidDel="00000000" w:rsidP="00000000" w:rsidRDefault="00000000" w:rsidRPr="00000000" w14:paraId="00000007">
      <w:pPr>
        <w:pStyle w:val="Heading2"/>
        <w:spacing w:after="0" w:before="0" w:lineRule="auto"/>
        <w:rPr/>
      </w:pPr>
      <w:bookmarkStart w:colFirst="0" w:colLast="0" w:name="_rywlbw1qnx0a" w:id="1"/>
      <w:bookmarkEnd w:id="1"/>
      <w:r w:rsidDel="00000000" w:rsidR="00000000" w:rsidRPr="00000000">
        <w:rPr>
          <w:rtl w:val="0"/>
        </w:rPr>
        <w:t xml:space="preserve">Strategic Value and Organizational Impact</w:t>
      </w:r>
    </w:p>
    <w:p w:rsidR="00000000" w:rsidDel="00000000" w:rsidP="00000000" w:rsidRDefault="00000000" w:rsidRPr="00000000" w14:paraId="00000008">
      <w:pPr>
        <w:spacing w:after="0" w:before="240" w:lineRule="auto"/>
        <w:rPr/>
      </w:pPr>
      <w:r w:rsidDel="00000000" w:rsidR="00000000" w:rsidRPr="00000000">
        <w:rPr>
          <w:rtl w:val="0"/>
        </w:rPr>
        <w:t xml:space="preserve">Attending DOES 2024 will provide our organization with:</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0.000000000001"/>
        <w:gridCol w:w="4700"/>
        <w:tblGridChange w:id="0">
          <w:tblGrid>
            <w:gridCol w:w="4660.000000000001"/>
            <w:gridCol w:w="4700"/>
          </w:tblGrid>
        </w:tblGridChange>
      </w:tblGrid>
      <w:tr>
        <w:trPr>
          <w:cantSplit w:val="0"/>
          <w:trHeight w:val="331.38"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86.4" w:type="dxa"/>
              <w:left w:w="86.4" w:type="dxa"/>
              <w:bottom w:w="86.4" w:type="dxa"/>
              <w:right w:w="86.4" w:type="dxa"/>
            </w:tcMar>
            <w:vAlign w:val="top"/>
          </w:tcPr>
          <w:p w:rsidR="00000000" w:rsidDel="00000000" w:rsidP="00000000" w:rsidRDefault="00000000" w:rsidRPr="00000000" w14:paraId="00000009">
            <w:pPr>
              <w:numPr>
                <w:ilvl w:val="0"/>
                <w:numId w:val="2"/>
              </w:numPr>
              <w:spacing w:before="200" w:lineRule="auto"/>
              <w:ind w:left="360"/>
            </w:pPr>
            <w:r w:rsidDel="00000000" w:rsidR="00000000" w:rsidRPr="00000000">
              <w:rPr>
                <w:rFonts w:ascii="Nunito" w:cs="Nunito" w:eastAsia="Nunito" w:hAnsi="Nunito"/>
                <w:b w:val="1"/>
                <w:rtl w:val="0"/>
              </w:rPr>
              <w:t xml:space="preserve">Invaluable Insights</w:t>
            </w:r>
            <w:r w:rsidDel="00000000" w:rsidR="00000000" w:rsidRPr="00000000">
              <w:rPr>
                <w:rtl w:val="0"/>
              </w:rPr>
              <w:t xml:space="preserve">: Learn from other leaders about the challenges and opportunities facing organizations in our field, enabling us to make more strategic decisions and anticipate potential risks.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sz w:val="2"/>
                <w:szCs w:val="2"/>
              </w:rPr>
            </w:pPr>
            <w:r w:rsidDel="00000000" w:rsidR="00000000" w:rsidRPr="00000000">
              <w:rPr>
                <w:rtl w:val="0"/>
              </w:rPr>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86.4" w:type="dxa"/>
              <w:left w:w="86.4" w:type="dxa"/>
              <w:bottom w:w="86.4" w:type="dxa"/>
              <w:right w:w="86.4" w:type="dxa"/>
            </w:tcMar>
            <w:vAlign w:val="top"/>
          </w:tcPr>
          <w:p w:rsidR="00000000" w:rsidDel="00000000" w:rsidP="00000000" w:rsidRDefault="00000000" w:rsidRPr="00000000" w14:paraId="0000000B">
            <w:pPr>
              <w:spacing w:after="0" w:before="0" w:lineRule="auto"/>
              <w:ind w:left="360" w:hanging="360"/>
              <w:rPr>
                <w:rFonts w:ascii="Nunito" w:cs="Nunito" w:eastAsia="Nunito" w:hAnsi="Nunito"/>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242b62"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Lexend SemiBold" w:cs="Lexend SemiBold" w:eastAsia="Lexend SemiBold" w:hAnsi="Lexend SemiBold"/>
                <w:color w:val="ffffff"/>
                <w:sz w:val="24"/>
                <w:szCs w:val="24"/>
              </w:rPr>
            </w:pPr>
            <w:r w:rsidDel="00000000" w:rsidR="00000000" w:rsidRPr="00000000">
              <w:rPr>
                <w:rFonts w:ascii="Lexend SemiBold" w:cs="Lexend SemiBold" w:eastAsia="Lexend SemiBold" w:hAnsi="Lexend SemiBold"/>
                <w:color w:val="ffffff"/>
                <w:sz w:val="24"/>
                <w:szCs w:val="24"/>
                <w:rtl w:val="0"/>
              </w:rPr>
              <w:t xml:space="preserve">100% of DOES 2022 attendees</w:t>
              <w:br w:type="textWrapping"/>
              <w:t xml:space="preserve">said they gained a better understanding of what other</w:t>
              <w:br w:type="textWrapping"/>
              <w:t xml:space="preserve">Deaf organization executives face.</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86.4" w:type="dxa"/>
              <w:left w:w="86.4" w:type="dxa"/>
              <w:bottom w:w="86.4" w:type="dxa"/>
              <w:right w:w="86.4" w:type="dxa"/>
            </w:tcMar>
            <w:vAlign w:val="top"/>
          </w:tcPr>
          <w:p w:rsidR="00000000" w:rsidDel="00000000" w:rsidP="00000000" w:rsidRDefault="00000000" w:rsidRPr="00000000" w14:paraId="0000000D">
            <w:pPr>
              <w:spacing w:after="0" w:before="0" w:lineRule="auto"/>
              <w:ind w:left="360" w:hanging="360"/>
              <w:rPr>
                <w:rFonts w:ascii="Nunito" w:cs="Nunito" w:eastAsia="Nunito" w:hAnsi="Nunito"/>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sz w:val="2"/>
                <w:szCs w:val="2"/>
              </w:rPr>
            </w:pPr>
            <w:r w:rsidDel="00000000" w:rsidR="00000000" w:rsidRPr="00000000">
              <w:rPr>
                <w:rtl w:val="0"/>
              </w:rPr>
            </w:r>
          </w:p>
        </w:tc>
      </w:tr>
      <w:tr>
        <w:trPr>
          <w:cantSplit w:val="0"/>
          <w:trHeight w:val="331.38"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86.4" w:type="dxa"/>
              <w:left w:w="86.4" w:type="dxa"/>
              <w:bottom w:w="86.4" w:type="dxa"/>
              <w:right w:w="86.4" w:type="dxa"/>
            </w:tcMar>
            <w:vAlign w:val="top"/>
          </w:tcPr>
          <w:p w:rsidR="00000000" w:rsidDel="00000000" w:rsidP="00000000" w:rsidRDefault="00000000" w:rsidRPr="00000000" w14:paraId="0000000F">
            <w:pPr>
              <w:numPr>
                <w:ilvl w:val="0"/>
                <w:numId w:val="2"/>
              </w:numPr>
              <w:spacing w:after="0" w:before="200" w:lineRule="auto"/>
              <w:ind w:left="360" w:hanging="360"/>
              <w:rPr/>
            </w:pPr>
            <w:r w:rsidDel="00000000" w:rsidR="00000000" w:rsidRPr="00000000">
              <w:rPr>
                <w:rFonts w:ascii="Nunito" w:cs="Nunito" w:eastAsia="Nunito" w:hAnsi="Nunito"/>
                <w:b w:val="1"/>
                <w:rtl w:val="0"/>
              </w:rPr>
              <w:t xml:space="preserve">Professional Growth</w:t>
            </w:r>
            <w:r w:rsidDel="00000000" w:rsidR="00000000" w:rsidRPr="00000000">
              <w:rPr>
                <w:b w:val="1"/>
                <w:rtl w:val="0"/>
              </w:rPr>
              <w:t xml:space="preserve">:</w:t>
            </w:r>
            <w:r w:rsidDel="00000000" w:rsidR="00000000" w:rsidRPr="00000000">
              <w:rPr>
                <w:rtl w:val="0"/>
              </w:rPr>
              <w:t xml:space="preserve"> Access best practices and innovative strategies in</w:t>
              <w:br w:type="textWrapping"/>
              <w:t xml:space="preserve">Deaf organization leadership,</w:t>
              <w:br w:type="textWrapping"/>
              <w:t xml:space="preserve">enhancing our ability to lead effectively.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
                <w:szCs w:val="2"/>
              </w:rPr>
            </w:pPr>
            <w:r w:rsidDel="00000000" w:rsidR="00000000" w:rsidRPr="00000000">
              <w:rPr>
                <w:rtl w:val="0"/>
              </w:rPr>
            </w:r>
          </w:p>
        </w:tc>
      </w:tr>
      <w:tr>
        <w:trPr>
          <w:cantSplit w:val="0"/>
          <w:trHeight w:val="1035.2146666666665"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86.4" w:type="dxa"/>
              <w:left w:w="86.4" w:type="dxa"/>
              <w:bottom w:w="86.4" w:type="dxa"/>
              <w:right w:w="86.4" w:type="dxa"/>
            </w:tcMar>
            <w:vAlign w:val="top"/>
          </w:tcPr>
          <w:p w:rsidR="00000000" w:rsidDel="00000000" w:rsidP="00000000" w:rsidRDefault="00000000" w:rsidRPr="00000000" w14:paraId="00000011">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242b62"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Lexend SemiBold" w:cs="Lexend SemiBold" w:eastAsia="Lexend SemiBold" w:hAnsi="Lexend SemiBold"/>
                <w:color w:val="ffffff"/>
                <w:sz w:val="24"/>
                <w:szCs w:val="24"/>
              </w:rPr>
            </w:pPr>
            <w:r w:rsidDel="00000000" w:rsidR="00000000" w:rsidRPr="00000000">
              <w:rPr>
                <w:rFonts w:ascii="Lexend SemiBold" w:cs="Lexend SemiBold" w:eastAsia="Lexend SemiBold" w:hAnsi="Lexend SemiBold"/>
                <w:color w:val="ffffff"/>
                <w:sz w:val="24"/>
                <w:szCs w:val="24"/>
                <w:rtl w:val="0"/>
              </w:rPr>
              <w:t xml:space="preserve">90% of DOES 2022 attendees</w:t>
              <w:br w:type="textWrapping"/>
              <w:t xml:space="preserve">would recommend DOES to another Deaf organization executive.</w:t>
            </w:r>
          </w:p>
        </w:tc>
      </w:tr>
      <w:tr>
        <w:trPr>
          <w:cantSplit w:val="0"/>
          <w:trHeight w:val="191.37999999999943" w:hRule="atLeast"/>
          <w:tblHeader w:val="0"/>
        </w:trPr>
        <w:tc>
          <w:tcPr>
            <w:vMerge w:val="continue"/>
            <w:tcBorders>
              <w:top w:color="000000" w:space="0" w:sz="0" w:val="nil"/>
              <w:left w:color="000000" w:space="0" w:sz="0" w:val="nil"/>
              <w:bottom w:color="000000" w:space="0" w:sz="0" w:val="nil"/>
              <w:right w:color="000000" w:space="0" w:sz="0" w:val="nil"/>
            </w:tcBorders>
            <w:shd w:fill="auto" w:val="clear"/>
            <w:tcMar>
              <w:top w:w="86.4" w:type="dxa"/>
              <w:left w:w="86.4" w:type="dxa"/>
              <w:bottom w:w="86.4" w:type="dxa"/>
              <w:right w:w="86.4" w:type="dxa"/>
            </w:tcMar>
            <w:vAlign w:val="top"/>
          </w:tcPr>
          <w:p w:rsidR="00000000" w:rsidDel="00000000" w:rsidP="00000000" w:rsidRDefault="00000000" w:rsidRPr="00000000" w14:paraId="00000013">
            <w:pPr>
              <w:spacing w:after="0" w:before="0" w:line="240" w:lineRule="auto"/>
              <w:ind w:left="0" w:firstLine="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
                <w:szCs w:val="2"/>
              </w:rPr>
            </w:pPr>
            <w:r w:rsidDel="00000000" w:rsidR="00000000" w:rsidRPr="00000000">
              <w:rPr>
                <w:rtl w:val="0"/>
              </w:rPr>
            </w:r>
          </w:p>
        </w:tc>
      </w:tr>
      <w:tr>
        <w:trPr>
          <w:cantSplit w:val="0"/>
          <w:trHeight w:val="331.38"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numPr>
                <w:ilvl w:val="0"/>
                <w:numId w:val="2"/>
              </w:numPr>
              <w:spacing w:after="0" w:before="200" w:lineRule="auto"/>
              <w:ind w:left="360" w:hanging="360"/>
            </w:pPr>
            <w:r w:rsidDel="00000000" w:rsidR="00000000" w:rsidRPr="00000000">
              <w:rPr>
                <w:rFonts w:ascii="Nunito" w:cs="Nunito" w:eastAsia="Nunito" w:hAnsi="Nunito"/>
                <w:b w:val="1"/>
                <w:rtl w:val="0"/>
              </w:rPr>
              <w:t xml:space="preserve">Crucial Partnerships: </w:t>
            </w:r>
            <w:r w:rsidDel="00000000" w:rsidR="00000000" w:rsidRPr="00000000">
              <w:rPr>
                <w:rFonts w:ascii="Nunito" w:cs="Nunito" w:eastAsia="Nunito" w:hAnsi="Nunito"/>
                <w:rtl w:val="0"/>
              </w:rPr>
              <w:t xml:space="preserve">Network with cross-sector leaders to build strategic relationships, strengthening our</w:t>
              <w:br w:type="textWrapping"/>
              <w:t xml:space="preserve">capacity to address future challenges</w:t>
              <w:br w:type="textWrapping"/>
              <w:t xml:space="preserve">and expand our reach.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2"/>
                <w:szCs w:val="2"/>
              </w:rPr>
            </w:pPr>
            <w:r w:rsidDel="00000000" w:rsidR="00000000" w:rsidRPr="00000000">
              <w:rPr>
                <w:rtl w:val="0"/>
              </w:rPr>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numPr>
                <w:ilvl w:val="0"/>
                <w:numId w:val="2"/>
              </w:numPr>
              <w:spacing w:after="240" w:before="240" w:lineRule="auto"/>
              <w:ind w:left="720" w:hanging="360"/>
              <w:rPr/>
            </w:pPr>
            <w:r w:rsidDel="00000000" w:rsidR="00000000" w:rsidRPr="00000000">
              <w:rPr>
                <w:rFonts w:ascii="Nunito" w:cs="Nunito" w:eastAsia="Nunito" w:hAnsi="Nunito"/>
                <w:b w:val="1"/>
                <w:rtl w:val="0"/>
              </w:rPr>
              <w:t xml:space="preserve">Crucial Partnerships</w:t>
            </w:r>
            <w:r w:rsidDel="00000000" w:rsidR="00000000" w:rsidRPr="00000000">
              <w:rPr>
                <w:b w:val="1"/>
                <w:rtl w:val="0"/>
              </w:rPr>
              <w:t xml:space="preserve">:</w:t>
            </w:r>
            <w:r w:rsidDel="00000000" w:rsidR="00000000" w:rsidRPr="00000000">
              <w:rPr>
                <w:rtl w:val="0"/>
              </w:rPr>
              <w:t xml:space="preserve"> Networking with cross-sector leaders is an opportunity to forge strategic alliances, bolster our capacity to address future challenges, and expand our organization’s reach.</w:t>
            </w:r>
          </w:p>
        </w:tc>
        <w:tc>
          <w:tcPr>
            <w:tcBorders>
              <w:top w:color="000000" w:space="0" w:sz="0" w:val="nil"/>
              <w:left w:color="000000" w:space="0" w:sz="0" w:val="nil"/>
              <w:bottom w:color="000000" w:space="0" w:sz="0" w:val="nil"/>
              <w:right w:color="000000" w:space="0" w:sz="0" w:val="nil"/>
            </w:tcBorders>
            <w:shd w:fill="242b62"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Lexend SemiBold" w:cs="Lexend SemiBold" w:eastAsia="Lexend SemiBold" w:hAnsi="Lexend SemiBold"/>
                <w:color w:val="ffffff"/>
                <w:sz w:val="24"/>
                <w:szCs w:val="24"/>
              </w:rPr>
            </w:pPr>
            <w:r w:rsidDel="00000000" w:rsidR="00000000" w:rsidRPr="00000000">
              <w:rPr>
                <w:rFonts w:ascii="Lexend SemiBold" w:cs="Lexend SemiBold" w:eastAsia="Lexend SemiBold" w:hAnsi="Lexend SemiBold"/>
                <w:color w:val="ffffff"/>
                <w:sz w:val="24"/>
                <w:szCs w:val="24"/>
                <w:rtl w:val="0"/>
              </w:rPr>
              <w:t xml:space="preserve">90% of DOES 2022 attendees</w:t>
              <w:br w:type="textWrapping"/>
              <w:t xml:space="preserve">said they made a connection</w:t>
              <w:br w:type="textWrapping"/>
              <w:t xml:space="preserve">with another attendee</w:t>
              <w:br w:type="textWrapping"/>
              <w:t xml:space="preserve">that invigorated them.</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after="240" w:before="240" w:lineRule="auto"/>
              <w:ind w:left="720" w:hanging="360"/>
              <w:rPr>
                <w:rFonts w:ascii="Nunito" w:cs="Nunito" w:eastAsia="Nunito" w:hAnsi="Nunito"/>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2"/>
                <w:szCs w:val="2"/>
              </w:rPr>
            </w:pPr>
            <w:r w:rsidDel="00000000" w:rsidR="00000000" w:rsidRPr="00000000">
              <w:rPr>
                <w:rtl w:val="0"/>
              </w:rPr>
            </w:r>
          </w:p>
        </w:tc>
      </w:tr>
      <w:tr>
        <w:trPr>
          <w:cantSplit w:val="0"/>
          <w:trHeight w:val="376.38" w:hRule="atLeast"/>
          <w:tblHeader w:val="0"/>
        </w:trPr>
        <w:tc>
          <w:tcPr>
            <w:vMerge w:val="restart"/>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numPr>
                <w:ilvl w:val="0"/>
                <w:numId w:val="2"/>
              </w:numPr>
              <w:spacing w:after="0" w:before="240" w:lineRule="auto"/>
              <w:ind w:left="360" w:hanging="360"/>
            </w:pPr>
            <w:r w:rsidDel="00000000" w:rsidR="00000000" w:rsidRPr="00000000">
              <w:rPr>
                <w:rFonts w:ascii="Nunito" w:cs="Nunito" w:eastAsia="Nunito" w:hAnsi="Nunito"/>
                <w:b w:val="1"/>
                <w:rtl w:val="0"/>
              </w:rPr>
              <w:t xml:space="preserve">Practical Solutions:</w:t>
            </w:r>
            <w:r w:rsidDel="00000000" w:rsidR="00000000" w:rsidRPr="00000000">
              <w:rPr>
                <w:rtl w:val="0"/>
              </w:rPr>
              <w:t xml:space="preserve"> Participate in high-impact dialogues on adaptive leadership, financial sustainability, and talent acquisition, directly applicable</w:t>
              <w:br w:type="textWrapping"/>
              <w:t xml:space="preserve">to </w:t>
            </w:r>
            <w:r w:rsidDel="00000000" w:rsidR="00000000" w:rsidRPr="00000000">
              <w:rPr>
                <w:rtl w:val="0"/>
              </w:rPr>
              <w:t xml:space="preserve">enhancing</w:t>
            </w:r>
            <w:r w:rsidDel="00000000" w:rsidR="00000000" w:rsidRPr="00000000">
              <w:rPr>
                <w:rtl w:val="0"/>
              </w:rPr>
              <w:t xml:space="preserve"> our organizational effectiveness.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2"/>
                <w:szCs w:val="2"/>
              </w:rPr>
            </w:pPr>
            <w:r w:rsidDel="00000000" w:rsidR="00000000" w:rsidRPr="00000000">
              <w:rPr>
                <w:rtl w:val="0"/>
              </w:rPr>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after="240" w:before="240" w:lineRule="auto"/>
              <w:ind w:left="720" w:hanging="360"/>
              <w:rPr>
                <w:rFonts w:ascii="Nunito" w:cs="Nunito" w:eastAsia="Nunito" w:hAnsi="Nunito"/>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242b62"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Lexend SemiBold" w:cs="Lexend SemiBold" w:eastAsia="Lexend SemiBold" w:hAnsi="Lexend SemiBold"/>
                <w:color w:val="ffffff"/>
                <w:sz w:val="24"/>
                <w:szCs w:val="24"/>
              </w:rPr>
            </w:pPr>
            <w:r w:rsidDel="00000000" w:rsidR="00000000" w:rsidRPr="00000000">
              <w:rPr>
                <w:rFonts w:ascii="Lexend SemiBold" w:cs="Lexend SemiBold" w:eastAsia="Lexend SemiBold" w:hAnsi="Lexend SemiBold"/>
                <w:color w:val="ffffff"/>
                <w:sz w:val="24"/>
                <w:szCs w:val="24"/>
                <w:rtl w:val="0"/>
              </w:rPr>
              <w:t xml:space="preserve">75% of DOES 2022 attendees reported that they left with a new idea, insight, or information that they plan to apply or implement within the next 6-12 months.</w:t>
            </w:r>
          </w:p>
        </w:tc>
      </w:tr>
      <w:tr>
        <w:trPr>
          <w:cantSplit w:val="0"/>
          <w:tblHeader w:val="0"/>
        </w:trPr>
        <w:tc>
          <w:tcPr>
            <w:vMerge w:val="continue"/>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after="240" w:before="240" w:lineRule="auto"/>
              <w:ind w:left="720" w:hanging="360"/>
              <w:rPr>
                <w:rFonts w:ascii="Nunito" w:cs="Nunito" w:eastAsia="Nunito" w:hAnsi="Nunito"/>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r>
          </w:p>
        </w:tc>
      </w:tr>
    </w:tbl>
    <w:p w:rsidR="00000000" w:rsidDel="00000000" w:rsidP="00000000" w:rsidRDefault="00000000" w:rsidRPr="00000000" w14:paraId="00000021">
      <w:pPr>
        <w:pStyle w:val="Heading2"/>
        <w:spacing w:after="0" w:before="0" w:lineRule="auto"/>
        <w:rPr/>
      </w:pPr>
      <w:bookmarkStart w:colFirst="0" w:colLast="0" w:name="_m7c0lrquro04" w:id="2"/>
      <w:bookmarkEnd w:id="2"/>
      <w:r w:rsidDel="00000000" w:rsidR="00000000" w:rsidRPr="00000000">
        <w:rPr>
          <w:rtl w:val="0"/>
        </w:rPr>
      </w:r>
    </w:p>
    <w:p w:rsidR="00000000" w:rsidDel="00000000" w:rsidP="00000000" w:rsidRDefault="00000000" w:rsidRPr="00000000" w14:paraId="00000022">
      <w:pPr>
        <w:pStyle w:val="Heading2"/>
        <w:spacing w:after="0" w:before="0" w:lineRule="auto"/>
        <w:rPr/>
      </w:pPr>
      <w:bookmarkStart w:colFirst="0" w:colLast="0" w:name="_w359mhf584m1" w:id="3"/>
      <w:bookmarkEnd w:id="3"/>
      <w:r w:rsidDel="00000000" w:rsidR="00000000" w:rsidRPr="00000000">
        <w:rPr>
          <w:rtl w:val="0"/>
        </w:rPr>
        <w:t xml:space="preserve">Critical Topics Addressed</w:t>
      </w:r>
    </w:p>
    <w:p w:rsidR="00000000" w:rsidDel="00000000" w:rsidP="00000000" w:rsidRDefault="00000000" w:rsidRPr="00000000" w14:paraId="00000023">
      <w:pPr>
        <w:spacing w:after="240" w:before="240" w:lineRule="auto"/>
        <w:rPr/>
      </w:pPr>
      <w:r w:rsidDel="00000000" w:rsidR="00000000" w:rsidRPr="00000000">
        <w:rPr>
          <w:rtl w:val="0"/>
        </w:rPr>
        <w:t xml:space="preserve">DOES will cover these essential areas for executive success: </w:t>
      </w:r>
    </w:p>
    <w:p w:rsidR="00000000" w:rsidDel="00000000" w:rsidP="00000000" w:rsidRDefault="00000000" w:rsidRPr="00000000" w14:paraId="00000024">
      <w:pPr>
        <w:numPr>
          <w:ilvl w:val="0"/>
          <w:numId w:val="3"/>
        </w:numPr>
        <w:spacing w:after="0" w:afterAutospacing="0" w:before="240" w:lineRule="auto"/>
        <w:ind w:left="720" w:hanging="360"/>
      </w:pPr>
      <w:r w:rsidDel="00000000" w:rsidR="00000000" w:rsidRPr="00000000">
        <w:rPr>
          <w:rtl w:val="0"/>
        </w:rPr>
        <w:t xml:space="preserve">Adaptive Leadership for Transformative Times</w:t>
      </w:r>
    </w:p>
    <w:p w:rsidR="00000000" w:rsidDel="00000000" w:rsidP="00000000" w:rsidRDefault="00000000" w:rsidRPr="00000000" w14:paraId="00000025">
      <w:pPr>
        <w:numPr>
          <w:ilvl w:val="0"/>
          <w:numId w:val="3"/>
        </w:numPr>
        <w:spacing w:after="0" w:afterAutospacing="0" w:before="0" w:beforeAutospacing="0" w:lineRule="auto"/>
        <w:ind w:left="720" w:hanging="360"/>
      </w:pPr>
      <w:r w:rsidDel="00000000" w:rsidR="00000000" w:rsidRPr="00000000">
        <w:rPr>
          <w:rtl w:val="0"/>
        </w:rPr>
        <w:t xml:space="preserve">Achieving Strategic Growth and Financial Sustainability</w:t>
      </w:r>
    </w:p>
    <w:p w:rsidR="00000000" w:rsidDel="00000000" w:rsidP="00000000" w:rsidRDefault="00000000" w:rsidRPr="00000000" w14:paraId="00000026">
      <w:pPr>
        <w:numPr>
          <w:ilvl w:val="0"/>
          <w:numId w:val="3"/>
        </w:numPr>
        <w:spacing w:after="0" w:afterAutospacing="0" w:before="0" w:beforeAutospacing="0" w:lineRule="auto"/>
        <w:ind w:left="720" w:hanging="360"/>
      </w:pPr>
      <w:r w:rsidDel="00000000" w:rsidR="00000000" w:rsidRPr="00000000">
        <w:rPr>
          <w:rtl w:val="0"/>
        </w:rPr>
        <w:t xml:space="preserve">Attracting and Retaining Top Talent</w:t>
      </w:r>
    </w:p>
    <w:p w:rsidR="00000000" w:rsidDel="00000000" w:rsidP="00000000" w:rsidRDefault="00000000" w:rsidRPr="00000000" w14:paraId="00000027">
      <w:pPr>
        <w:numPr>
          <w:ilvl w:val="0"/>
          <w:numId w:val="3"/>
        </w:numPr>
        <w:spacing w:after="0" w:afterAutospacing="0" w:before="0" w:beforeAutospacing="0" w:lineRule="auto"/>
        <w:ind w:left="720" w:hanging="360"/>
      </w:pPr>
      <w:r w:rsidDel="00000000" w:rsidR="00000000" w:rsidRPr="00000000">
        <w:rPr>
          <w:rtl w:val="0"/>
        </w:rPr>
        <w:t xml:space="preserve">Incorporating DEIAB (Diversity, Equity, Inclusion, Accessibility, and Belonging)</w:t>
      </w:r>
    </w:p>
    <w:p w:rsidR="00000000" w:rsidDel="00000000" w:rsidP="00000000" w:rsidRDefault="00000000" w:rsidRPr="00000000" w14:paraId="00000028">
      <w:pPr>
        <w:numPr>
          <w:ilvl w:val="0"/>
          <w:numId w:val="3"/>
        </w:numPr>
        <w:spacing w:after="0" w:afterAutospacing="0" w:before="0" w:beforeAutospacing="0" w:lineRule="auto"/>
        <w:ind w:left="720" w:hanging="360"/>
      </w:pPr>
      <w:r w:rsidDel="00000000" w:rsidR="00000000" w:rsidRPr="00000000">
        <w:rPr>
          <w:rtl w:val="0"/>
        </w:rPr>
        <w:t xml:space="preserve">Crisis Leadership and Conflict Resolution</w:t>
      </w:r>
    </w:p>
    <w:p w:rsidR="00000000" w:rsidDel="00000000" w:rsidP="00000000" w:rsidRDefault="00000000" w:rsidRPr="00000000" w14:paraId="00000029">
      <w:pPr>
        <w:numPr>
          <w:ilvl w:val="0"/>
          <w:numId w:val="3"/>
        </w:numPr>
        <w:spacing w:after="240" w:before="0" w:beforeAutospacing="0" w:lineRule="auto"/>
        <w:ind w:left="720" w:hanging="360"/>
      </w:pPr>
      <w:r w:rsidDel="00000000" w:rsidR="00000000" w:rsidRPr="00000000">
        <w:rPr>
          <w:rtl w:val="0"/>
        </w:rPr>
        <w:t xml:space="preserve">Forging Strategic Partnerships Across Sectors</w:t>
      </w:r>
    </w:p>
    <w:p w:rsidR="00000000" w:rsidDel="00000000" w:rsidP="00000000" w:rsidRDefault="00000000" w:rsidRPr="00000000" w14:paraId="0000002A">
      <w:pPr>
        <w:pStyle w:val="Heading2"/>
        <w:spacing w:after="0" w:before="200" w:lineRule="auto"/>
        <w:rPr>
          <w:rFonts w:ascii="Nunito Light" w:cs="Nunito Light" w:eastAsia="Nunito Light" w:hAnsi="Nunito Light"/>
          <w:color w:val="00001f"/>
          <w:sz w:val="26"/>
          <w:szCs w:val="26"/>
        </w:rPr>
      </w:pPr>
      <w:bookmarkStart w:colFirst="0" w:colLast="0" w:name="_blhxrnu5e4v3" w:id="4"/>
      <w:bookmarkEnd w:id="4"/>
      <w:r w:rsidDel="00000000" w:rsidR="00000000" w:rsidRPr="00000000">
        <w:rPr>
          <w:rtl w:val="0"/>
        </w:rPr>
        <w:br w:type="textWrapping"/>
        <w:t xml:space="preserve">Quantifiable ROI on Executive Development</w:t>
      </w:r>
      <w:r w:rsidDel="00000000" w:rsidR="00000000" w:rsidRPr="00000000">
        <w:rPr>
          <w:rtl w:val="0"/>
        </w:rPr>
      </w:r>
    </w:p>
    <w:p w:rsidR="00000000" w:rsidDel="00000000" w:rsidP="00000000" w:rsidRDefault="00000000" w:rsidRPr="00000000" w14:paraId="0000002B">
      <w:pPr>
        <w:spacing w:after="240" w:before="240" w:lineRule="auto"/>
        <w:rPr/>
      </w:pPr>
      <w:r w:rsidDel="00000000" w:rsidR="00000000" w:rsidRPr="00000000">
        <w:rPr>
          <w:rtl w:val="0"/>
        </w:rPr>
        <w:t xml:space="preserve">Investing in executive leadership development and training yields tangible benefits: </w:t>
      </w:r>
    </w:p>
    <w:p w:rsidR="00000000" w:rsidDel="00000000" w:rsidP="00000000" w:rsidRDefault="00000000" w:rsidRPr="00000000" w14:paraId="0000002C">
      <w:pPr>
        <w:numPr>
          <w:ilvl w:val="0"/>
          <w:numId w:val="1"/>
        </w:numPr>
        <w:spacing w:after="0" w:afterAutospacing="0" w:before="240" w:lineRule="auto"/>
        <w:ind w:left="720" w:hanging="360"/>
        <w:rPr>
          <w:u w:val="none"/>
        </w:rPr>
      </w:pPr>
      <w:r w:rsidDel="00000000" w:rsidR="00000000" w:rsidRPr="00000000">
        <w:rPr>
          <w:rtl w:val="0"/>
        </w:rPr>
        <w:t xml:space="preserve">Participants have demonstrated a 25% increase in learning and 20% in overall job performance after undergoing leadership training. This includes a 28% increase in leadership behaviors and an 8% increase in team performance (Lacerenza, et. al., 2017).</w:t>
      </w:r>
    </w:p>
    <w:p w:rsidR="00000000" w:rsidDel="00000000" w:rsidP="00000000" w:rsidRDefault="00000000" w:rsidRPr="00000000" w14:paraId="0000002D">
      <w:pPr>
        <w:numPr>
          <w:ilvl w:val="0"/>
          <w:numId w:val="1"/>
        </w:numPr>
        <w:spacing w:after="0" w:afterAutospacing="0" w:before="0" w:beforeAutospacing="0" w:lineRule="auto"/>
        <w:ind w:left="720" w:hanging="360"/>
        <w:rPr>
          <w:u w:val="none"/>
        </w:rPr>
      </w:pPr>
      <w:r w:rsidDel="00000000" w:rsidR="00000000" w:rsidRPr="00000000">
        <w:rPr>
          <w:rtl w:val="0"/>
        </w:rPr>
        <w:t xml:space="preserve">Within 3 months of leadership development training, organizations have reported an ROI of 29% an annual ROI of 415% — a return on investment of $4.15 for every $1 spent on training (Leone, P., 2019).</w:t>
      </w:r>
    </w:p>
    <w:p w:rsidR="00000000" w:rsidDel="00000000" w:rsidP="00000000" w:rsidRDefault="00000000" w:rsidRPr="00000000" w14:paraId="0000002E">
      <w:pPr>
        <w:numPr>
          <w:ilvl w:val="0"/>
          <w:numId w:val="1"/>
        </w:numPr>
        <w:spacing w:after="240" w:before="0" w:beforeAutospacing="0" w:lineRule="auto"/>
        <w:ind w:left="720" w:hanging="360"/>
        <w:rPr/>
      </w:pPr>
      <w:r w:rsidDel="00000000" w:rsidR="00000000" w:rsidRPr="00000000">
        <w:rPr>
          <w:rtl w:val="0"/>
        </w:rPr>
        <w:t xml:space="preserve">Companies that invest in leadership development experience 12% higher employee retention and 17% increased profitability compared to those that do not prioritize leadership training (Harvard Business Review, 2018)</w:t>
      </w:r>
    </w:p>
    <w:p w:rsidR="00000000" w:rsidDel="00000000" w:rsidP="00000000" w:rsidRDefault="00000000" w:rsidRPr="00000000" w14:paraId="0000002F">
      <w:pPr>
        <w:pStyle w:val="Heading2"/>
        <w:rPr/>
      </w:pPr>
      <w:bookmarkStart w:colFirst="0" w:colLast="0" w:name="_7i07kelhtgty" w:id="5"/>
      <w:bookmarkEnd w:id="5"/>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rPr/>
      </w:pPr>
      <w:bookmarkStart w:colFirst="0" w:colLast="0" w:name="_35vdzlpejbp6" w:id="6"/>
      <w:bookmarkEnd w:id="6"/>
      <w:r w:rsidDel="00000000" w:rsidR="00000000" w:rsidRPr="00000000">
        <w:rPr>
          <w:rtl w:val="0"/>
        </w:rPr>
        <w:t xml:space="preserve">Cost Breakdown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sz w:val="20"/>
                <w:szCs w:val="20"/>
              </w:rPr>
            </w:pPr>
            <w:r w:rsidDel="00000000" w:rsidR="00000000" w:rsidRPr="00000000">
              <w:rPr>
                <w:sz w:val="20"/>
                <w:szCs w:val="20"/>
                <w:rtl w:val="0"/>
              </w:rPr>
              <w:t xml:space="preserve">Registration Fee: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$900 per person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Accommodation: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NOTE:</w:t>
              <w:tab/>
              <w:t xml:space="preserve">Three meals are included in the registration fee:</w:t>
              <w:br w:type="textWrapping"/>
              <w:tab/>
              <w:t xml:space="preserve">two lunches and one dinner.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20"/>
                <w:szCs w:val="20"/>
                <w:rtl w:val="0"/>
              </w:rPr>
              <w:t xml:space="preserve">[</w:t>
            </w:r>
            <w:r w:rsidDel="00000000" w:rsidR="00000000" w:rsidRPr="00000000">
              <w:rPr>
                <w:sz w:val="20"/>
                <w:szCs w:val="20"/>
                <w:highlight w:val="yellow"/>
                <w:rtl w:val="0"/>
              </w:rPr>
              <w:t xml:space="preserve">Insert Amount; see hotel information </w:t>
            </w:r>
            <w:hyperlink r:id="rId6">
              <w:r w:rsidDel="00000000" w:rsidR="00000000" w:rsidRPr="00000000">
                <w:rPr>
                  <w:color w:val="1155cc"/>
                  <w:sz w:val="20"/>
                  <w:szCs w:val="20"/>
                  <w:highlight w:val="yellow"/>
                  <w:u w:val="single"/>
                  <w:rtl w:val="0"/>
                </w:rPr>
                <w:t xml:space="preserve">HERE</w:t>
              </w:r>
            </w:hyperlink>
            <w:r w:rsidDel="00000000" w:rsidR="00000000" w:rsidRPr="00000000">
              <w:rPr>
                <w:sz w:val="20"/>
                <w:szCs w:val="20"/>
                <w:rtl w:val="0"/>
              </w:rPr>
              <w:t xml:space="preserve">]</w:t>
              <w:br w:type="textWrapping"/>
            </w:r>
            <w:r w:rsidDel="00000000" w:rsidR="00000000" w:rsidRPr="00000000">
              <w:rPr>
                <w:sz w:val="16"/>
                <w:szCs w:val="16"/>
                <w:rtl w:val="0"/>
              </w:rPr>
              <w:t xml:space="preserve">King Room:</w:t>
              <w:tab/>
              <w:t xml:space="preserve">$179/night + tax</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Double Room:</w:t>
              <w:tab/>
              <w:t xml:space="preserve">$189/night + tax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Travel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sz w:val="20"/>
                <w:szCs w:val="20"/>
              </w:rPr>
            </w:pPr>
            <w:r w:rsidDel="00000000" w:rsidR="00000000" w:rsidRPr="00000000">
              <w:rPr>
                <w:sz w:val="20"/>
                <w:szCs w:val="20"/>
                <w:rtl w:val="0"/>
              </w:rPr>
              <w:t xml:space="preserve">[</w:t>
            </w:r>
            <w:r w:rsidDel="00000000" w:rsidR="00000000" w:rsidRPr="00000000">
              <w:rPr>
                <w:sz w:val="20"/>
                <w:szCs w:val="20"/>
                <w:highlight w:val="yellow"/>
                <w:rtl w:val="0"/>
              </w:rPr>
              <w:t xml:space="preserve">Insert Amount</w:t>
            </w:r>
            <w:r w:rsidDel="00000000" w:rsidR="00000000" w:rsidRPr="00000000">
              <w:rPr>
                <w:sz w:val="20"/>
                <w:szCs w:val="20"/>
                <w:rtl w:val="0"/>
              </w:rPr>
              <w:t xml:space="preserv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Total Expected Cost: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t>
            </w:r>
            <w:r w:rsidDel="00000000" w:rsidR="00000000" w:rsidRPr="00000000">
              <w:rPr>
                <w:sz w:val="20"/>
                <w:szCs w:val="20"/>
                <w:highlight w:val="yellow"/>
                <w:rtl w:val="0"/>
              </w:rPr>
              <w:t xml:space="preserve">Insert Amount</w:t>
            </w:r>
            <w:r w:rsidDel="00000000" w:rsidR="00000000" w:rsidRPr="00000000">
              <w:rPr>
                <w:sz w:val="20"/>
                <w:szCs w:val="20"/>
                <w:rtl w:val="0"/>
              </w:rPr>
              <w:t xml:space="preserve">]</w:t>
            </w:r>
          </w:p>
        </w:tc>
      </w:tr>
    </w:tbl>
    <w:p w:rsidR="00000000" w:rsidDel="00000000" w:rsidP="00000000" w:rsidRDefault="00000000" w:rsidRPr="00000000" w14:paraId="0000003B">
      <w:pPr>
        <w:pStyle w:val="Heading2"/>
        <w:rPr/>
      </w:pPr>
      <w:bookmarkStart w:colFirst="0" w:colLast="0" w:name="_5fckmqccey1u" w:id="7"/>
      <w:bookmarkEnd w:id="7"/>
      <w:r w:rsidDel="00000000" w:rsidR="00000000" w:rsidRPr="00000000">
        <w:rPr>
          <w:rtl w:val="0"/>
        </w:rPr>
        <w:br w:type="textWrapping"/>
      </w:r>
      <w:r w:rsidDel="00000000" w:rsidR="00000000" w:rsidRPr="00000000">
        <w:rPr>
          <w:rtl w:val="0"/>
        </w:rPr>
        <w:t xml:space="preserve">Expected Outcomes</w:t>
      </w:r>
    </w:p>
    <w:p w:rsidR="00000000" w:rsidDel="00000000" w:rsidP="00000000" w:rsidRDefault="00000000" w:rsidRPr="00000000" w14:paraId="0000003C">
      <w:pPr>
        <w:rPr/>
      </w:pPr>
      <w:r w:rsidDel="00000000" w:rsidR="00000000" w:rsidRPr="00000000">
        <w:rPr>
          <w:rtl w:val="0"/>
        </w:rPr>
        <w:t xml:space="preserve">By attending DOES 2024, I anticipate:</w:t>
      </w:r>
    </w:p>
    <w:p w:rsidR="00000000" w:rsidDel="00000000" w:rsidP="00000000" w:rsidRDefault="00000000" w:rsidRPr="00000000" w14:paraId="0000003D">
      <w:pPr>
        <w:numPr>
          <w:ilvl w:val="0"/>
          <w:numId w:val="4"/>
        </w:numPr>
        <w:ind w:left="720" w:hanging="360"/>
        <w:rPr>
          <w:u w:val="none"/>
        </w:rPr>
      </w:pPr>
      <w:r w:rsidDel="00000000" w:rsidR="00000000" w:rsidRPr="00000000">
        <w:rPr>
          <w:rtl w:val="0"/>
        </w:rPr>
        <w:t xml:space="preserve">Acquiring innovative strategies to drive our mission forward;</w:t>
      </w:r>
    </w:p>
    <w:p w:rsidR="00000000" w:rsidDel="00000000" w:rsidP="00000000" w:rsidRDefault="00000000" w:rsidRPr="00000000" w14:paraId="0000003E">
      <w:pPr>
        <w:numPr>
          <w:ilvl w:val="0"/>
          <w:numId w:val="4"/>
        </w:numPr>
        <w:ind w:left="720" w:hanging="360"/>
        <w:rPr>
          <w:u w:val="none"/>
        </w:rPr>
      </w:pPr>
      <w:r w:rsidDel="00000000" w:rsidR="00000000" w:rsidRPr="00000000">
        <w:rPr>
          <w:rtl w:val="0"/>
        </w:rPr>
        <w:t xml:space="preserve">Establishing valuable connections with potential partners and collaborators;</w:t>
      </w:r>
    </w:p>
    <w:p w:rsidR="00000000" w:rsidDel="00000000" w:rsidP="00000000" w:rsidRDefault="00000000" w:rsidRPr="00000000" w14:paraId="0000003F">
      <w:pPr>
        <w:numPr>
          <w:ilvl w:val="0"/>
          <w:numId w:val="4"/>
        </w:numPr>
        <w:ind w:left="720" w:hanging="360"/>
        <w:rPr>
          <w:u w:val="none"/>
        </w:rPr>
      </w:pPr>
      <w:r w:rsidDel="00000000" w:rsidR="00000000" w:rsidRPr="00000000">
        <w:rPr>
          <w:rtl w:val="0"/>
        </w:rPr>
        <w:t xml:space="preserve">Gaining insights into industry best practices and emerging trends; and,</w:t>
      </w:r>
    </w:p>
    <w:p w:rsidR="00000000" w:rsidDel="00000000" w:rsidP="00000000" w:rsidRDefault="00000000" w:rsidRPr="00000000" w14:paraId="00000040">
      <w:pPr>
        <w:numPr>
          <w:ilvl w:val="0"/>
          <w:numId w:val="4"/>
        </w:numPr>
        <w:ind w:left="720" w:hanging="360"/>
        <w:rPr>
          <w:u w:val="none"/>
        </w:rPr>
      </w:pPr>
      <w:r w:rsidDel="00000000" w:rsidR="00000000" w:rsidRPr="00000000">
        <w:rPr>
          <w:rtl w:val="0"/>
        </w:rPr>
        <w:t xml:space="preserve">Developing enhanced leadership skills to navigate our organization through challenges and opportunities.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2"/>
        <w:rPr/>
      </w:pPr>
      <w:bookmarkStart w:colFirst="0" w:colLast="0" w:name="_lxktd3ozeqtq" w:id="8"/>
      <w:bookmarkEnd w:id="8"/>
      <w:r w:rsidDel="00000000" w:rsidR="00000000" w:rsidRPr="00000000">
        <w:rPr>
          <w:rtl w:val="0"/>
        </w:rPr>
        <w:t xml:space="preserve">Conclusion</w:t>
      </w:r>
    </w:p>
    <w:p w:rsidR="00000000" w:rsidDel="00000000" w:rsidP="00000000" w:rsidRDefault="00000000" w:rsidRPr="00000000" w14:paraId="00000043">
      <w:pPr>
        <w:rPr/>
      </w:pPr>
      <w:r w:rsidDel="00000000" w:rsidR="00000000" w:rsidRPr="00000000">
        <w:rPr>
          <w:rtl w:val="0"/>
        </w:rPr>
        <w:t xml:space="preserve">Investing in DOES 2024 is an investment in our organization's future. The knowledge, skills, and networks developed at this summit will significantly enhance our ability to lead with vision and drive transformational outcomes for the communities we serve.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I am confident that the benefits of attending DOES 2024 will far outweigh the costs, positioning our organization for continued growth and impact. I appreciate your consideration and am happy to discuss this opportunity further.</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Thank you for your support of our mission and commitment to leadership excellence.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Sincerely,</w:t>
      </w:r>
    </w:p>
    <w:p w:rsidR="00000000" w:rsidDel="00000000" w:rsidP="00000000" w:rsidRDefault="00000000" w:rsidRPr="00000000" w14:paraId="0000004A">
      <w:pPr>
        <w:rPr/>
      </w:pPr>
      <w:r w:rsidDel="00000000" w:rsidR="00000000" w:rsidRPr="00000000">
        <w:rPr>
          <w:rtl w:val="0"/>
        </w:rPr>
        <w:br w:type="textWrapping"/>
      </w:r>
    </w:p>
    <w:p w:rsidR="00000000" w:rsidDel="00000000" w:rsidP="00000000" w:rsidRDefault="00000000" w:rsidRPr="00000000" w14:paraId="0000004B">
      <w:pPr>
        <w:rPr/>
      </w:pPr>
      <w:r w:rsidDel="00000000" w:rsidR="00000000" w:rsidRPr="00000000">
        <w:rPr>
          <w:rtl w:val="0"/>
        </w:rPr>
        <w:t xml:space="preserve">[</w:t>
      </w:r>
      <w:r w:rsidDel="00000000" w:rsidR="00000000" w:rsidRPr="00000000">
        <w:rPr>
          <w:highlight w:val="yellow"/>
          <w:rtl w:val="0"/>
        </w:rPr>
        <w:t xml:space="preserve">Your Name</w:t>
      </w:r>
      <w:r w:rsidDel="00000000" w:rsidR="00000000" w:rsidRPr="00000000">
        <w:rPr>
          <w:rtl w:val="0"/>
        </w:rPr>
        <w:t xml:space="preserve">]</w:t>
      </w:r>
    </w:p>
    <w:p w:rsidR="00000000" w:rsidDel="00000000" w:rsidP="00000000" w:rsidRDefault="00000000" w:rsidRPr="00000000" w14:paraId="0000004C">
      <w:pPr>
        <w:rPr/>
      </w:pPr>
      <w:r w:rsidDel="00000000" w:rsidR="00000000" w:rsidRPr="00000000">
        <w:rPr>
          <w:rtl w:val="0"/>
        </w:rPr>
        <w:t xml:space="preserve">[</w:t>
      </w:r>
      <w:r w:rsidDel="00000000" w:rsidR="00000000" w:rsidRPr="00000000">
        <w:rPr>
          <w:highlight w:val="yellow"/>
          <w:rtl w:val="0"/>
        </w:rPr>
        <w:t xml:space="preserve">Your Title</w:t>
      </w:r>
      <w:r w:rsidDel="00000000" w:rsidR="00000000" w:rsidRPr="00000000">
        <w:rPr>
          <w:rtl w:val="0"/>
        </w:rPr>
        <w:t xml:space="preserv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440" w:header="431.99999999999994" w:footer="431.9999999999999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SemiBold">
    <w:embedRegular w:fontKey="{00000000-0000-0000-0000-000000000000}" r:id="rId5" w:subsetted="0"/>
    <w:embedBold w:fontKey="{00000000-0000-0000-0000-000000000000}" r:id="rId6" w:subsetted="0"/>
  </w:font>
  <w:font w:name="Nun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exend">
    <w:embedRegular w:fontKey="{00000000-0000-0000-0000-000000000000}" r:id="rId11" w:subsetted="0"/>
    <w:embedBold w:fontKey="{00000000-0000-0000-0000-000000000000}" r:id="rId12" w:subsetted="0"/>
  </w:font>
  <w:font w:name="Nuni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jc w:val="center"/>
      <w:rPr>
        <w:rFonts w:ascii="Nunito" w:cs="Nunito" w:eastAsia="Nunito" w:hAnsi="Nunito"/>
        <w:b w:val="1"/>
        <w:color w:val="666666"/>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rPr>
              <w:rFonts w:ascii="Nunito" w:cs="Nunito" w:eastAsia="Nunito" w:hAnsi="Nunito"/>
              <w:b w:val="1"/>
              <w:color w:val="666666"/>
              <w:sz w:val="16"/>
              <w:szCs w:val="16"/>
            </w:rPr>
          </w:pPr>
          <w:r w:rsidDel="00000000" w:rsidR="00000000" w:rsidRPr="00000000">
            <w:rPr>
              <w:rFonts w:ascii="Nunito" w:cs="Nunito" w:eastAsia="Nunito" w:hAnsi="Nunito"/>
              <w:b w:val="1"/>
              <w:color w:val="666666"/>
              <w:sz w:val="16"/>
              <w:szCs w:val="16"/>
              <w:rtl w:val="0"/>
            </w:rPr>
            <w:t xml:space="preserve">Innivee Strategies</w:t>
            <w:br w:type="textWrapping"/>
          </w:r>
          <w:r w:rsidDel="00000000" w:rsidR="00000000" w:rsidRPr="00000000">
            <w:rPr>
              <w:color w:val="666666"/>
              <w:sz w:val="16"/>
              <w:szCs w:val="16"/>
              <w:rtl w:val="0"/>
            </w:rPr>
            <w:t xml:space="preserve">DOES 2024 Justification Letter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right"/>
            <w:rPr>
              <w:color w:val="666666"/>
              <w:sz w:val="16"/>
              <w:szCs w:val="16"/>
            </w:rPr>
          </w:pPr>
          <w:hyperlink r:id="rId1">
            <w:r w:rsidDel="00000000" w:rsidR="00000000" w:rsidRPr="00000000">
              <w:rPr>
                <w:color w:val="1b2450"/>
                <w:sz w:val="16"/>
                <w:szCs w:val="16"/>
                <w:u w:val="single"/>
                <w:rtl w:val="0"/>
              </w:rPr>
              <w:t xml:space="preserve">contact@innivee.com</w:t>
            </w:r>
          </w:hyperlink>
          <w:r w:rsidDel="00000000" w:rsidR="00000000" w:rsidRPr="00000000">
            <w:rPr>
              <w:rtl w:val="0"/>
            </w:rPr>
          </w:r>
        </w:p>
        <w:p w:rsidR="00000000" w:rsidDel="00000000" w:rsidP="00000000" w:rsidRDefault="00000000" w:rsidRPr="00000000" w14:paraId="00000052">
          <w:pPr>
            <w:widowControl w:val="0"/>
            <w:spacing w:line="240" w:lineRule="auto"/>
            <w:jc w:val="right"/>
            <w:rPr>
              <w:color w:val="666666"/>
              <w:sz w:val="16"/>
              <w:szCs w:val="16"/>
            </w:rPr>
          </w:pPr>
          <w:r w:rsidDel="00000000" w:rsidR="00000000" w:rsidRPr="00000000">
            <w:rPr>
              <w:color w:val="666666"/>
              <w:sz w:val="16"/>
              <w:szCs w:val="16"/>
              <w:rtl w:val="0"/>
            </w:rPr>
            <w:t xml:space="preserve">Page </w:t>
          </w:r>
          <w:r w:rsidDel="00000000" w:rsidR="00000000" w:rsidRPr="00000000">
            <w:rPr>
              <w:color w:val="666666"/>
              <w:sz w:val="16"/>
              <w:szCs w:val="16"/>
            </w:rPr>
            <w:fldChar w:fldCharType="begin"/>
            <w:instrText xml:space="preserve">PAGE</w:instrText>
            <w:fldChar w:fldCharType="separate"/>
            <w:fldChar w:fldCharType="end"/>
          </w:r>
          <w:r w:rsidDel="00000000" w:rsidR="00000000" w:rsidRPr="00000000">
            <w:rPr>
              <w:color w:val="666666"/>
              <w:sz w:val="16"/>
              <w:szCs w:val="16"/>
              <w:rtl w:val="0"/>
            </w:rPr>
            <w:t xml:space="preserve"> of </w:t>
          </w:r>
          <w:r w:rsidDel="00000000" w:rsidR="00000000" w:rsidRPr="00000000">
            <w:rPr>
              <w:color w:val="666666"/>
              <w:sz w:val="16"/>
              <w:szCs w:val="16"/>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53">
    <w:pPr>
      <w:rPr>
        <w:color w:val="666666"/>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jc w:val="center"/>
      <w:rPr>
        <w:rFonts w:ascii="Nunito" w:cs="Nunito" w:eastAsia="Nunito" w:hAnsi="Nunito"/>
        <w:b w:val="1"/>
        <w:color w:val="666666"/>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rPr>
              <w:color w:val="666666"/>
              <w:sz w:val="16"/>
              <w:szCs w:val="16"/>
            </w:rPr>
          </w:pPr>
          <w:r w:rsidDel="00000000" w:rsidR="00000000" w:rsidRPr="00000000">
            <w:rPr>
              <w:rFonts w:ascii="Nunito" w:cs="Nunito" w:eastAsia="Nunito" w:hAnsi="Nunito"/>
              <w:b w:val="1"/>
              <w:color w:val="666666"/>
              <w:sz w:val="16"/>
              <w:szCs w:val="16"/>
              <w:rtl w:val="0"/>
            </w:rPr>
            <w:t xml:space="preserve">Innivee Strategies</w:t>
            <w:br w:type="textWrapping"/>
          </w:r>
          <w:r w:rsidDel="00000000" w:rsidR="00000000" w:rsidRPr="00000000">
            <w:rPr>
              <w:color w:val="666666"/>
              <w:sz w:val="16"/>
              <w:szCs w:val="16"/>
              <w:rtl w:val="0"/>
            </w:rPr>
            <w:t xml:space="preserve">7500 Montpelier Road</w:t>
          </w:r>
        </w:p>
        <w:p w:rsidR="00000000" w:rsidDel="00000000" w:rsidP="00000000" w:rsidRDefault="00000000" w:rsidRPr="00000000" w14:paraId="00000057">
          <w:pPr>
            <w:rPr>
              <w:color w:val="666666"/>
              <w:sz w:val="16"/>
              <w:szCs w:val="16"/>
            </w:rPr>
          </w:pPr>
          <w:r w:rsidDel="00000000" w:rsidR="00000000" w:rsidRPr="00000000">
            <w:rPr>
              <w:color w:val="666666"/>
              <w:sz w:val="16"/>
              <w:szCs w:val="16"/>
              <w:rtl w:val="0"/>
            </w:rPr>
            <w:t xml:space="preserve">Suite 105 Box #110</w:t>
          </w:r>
        </w:p>
        <w:p w:rsidR="00000000" w:rsidDel="00000000" w:rsidP="00000000" w:rsidRDefault="00000000" w:rsidRPr="00000000" w14:paraId="00000058">
          <w:pPr>
            <w:rPr>
              <w:rFonts w:ascii="Nunito" w:cs="Nunito" w:eastAsia="Nunito" w:hAnsi="Nunito"/>
              <w:b w:val="1"/>
              <w:color w:val="666666"/>
              <w:sz w:val="16"/>
              <w:szCs w:val="16"/>
            </w:rPr>
          </w:pPr>
          <w:r w:rsidDel="00000000" w:rsidR="00000000" w:rsidRPr="00000000">
            <w:rPr>
              <w:color w:val="666666"/>
              <w:sz w:val="16"/>
              <w:szCs w:val="16"/>
              <w:rtl w:val="0"/>
            </w:rPr>
            <w:t xml:space="preserve">Laurel, MD 20723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right"/>
            <w:rPr>
              <w:rFonts w:ascii="Nunito" w:cs="Nunito" w:eastAsia="Nunito" w:hAnsi="Nunito"/>
              <w:b w:val="1"/>
              <w:color w:val="666666"/>
              <w:sz w:val="16"/>
              <w:szCs w:val="16"/>
            </w:rPr>
          </w:pPr>
          <w:r w:rsidDel="00000000" w:rsidR="00000000" w:rsidRPr="00000000">
            <w:rPr>
              <w:rFonts w:ascii="Nunito" w:cs="Nunito" w:eastAsia="Nunito" w:hAnsi="Nunito"/>
              <w:b w:val="1"/>
              <w:color w:val="666666"/>
              <w:sz w:val="16"/>
              <w:szCs w:val="16"/>
              <w:rtl w:val="0"/>
            </w:rPr>
            <w:t xml:space="preserve">Transforming communities through organizational change.</w:t>
          </w:r>
        </w:p>
        <w:p w:rsidR="00000000" w:rsidDel="00000000" w:rsidP="00000000" w:rsidRDefault="00000000" w:rsidRPr="00000000" w14:paraId="0000005A">
          <w:pPr>
            <w:widowControl w:val="0"/>
            <w:spacing w:line="240" w:lineRule="auto"/>
            <w:jc w:val="right"/>
            <w:rPr>
              <w:color w:val="666666"/>
              <w:sz w:val="16"/>
              <w:szCs w:val="16"/>
            </w:rPr>
          </w:pPr>
          <w:r w:rsidDel="00000000" w:rsidR="00000000" w:rsidRPr="00000000">
            <w:rPr>
              <w:rtl w:val="0"/>
            </w:rPr>
          </w:r>
        </w:p>
        <w:p w:rsidR="00000000" w:rsidDel="00000000" w:rsidP="00000000" w:rsidRDefault="00000000" w:rsidRPr="00000000" w14:paraId="0000005B">
          <w:pPr>
            <w:widowControl w:val="0"/>
            <w:spacing w:line="240" w:lineRule="auto"/>
            <w:jc w:val="right"/>
            <w:rPr>
              <w:color w:val="1b2450"/>
              <w:sz w:val="16"/>
              <w:szCs w:val="16"/>
            </w:rPr>
          </w:pPr>
          <w:hyperlink r:id="rId1">
            <w:r w:rsidDel="00000000" w:rsidR="00000000" w:rsidRPr="00000000">
              <w:rPr>
                <w:color w:val="1b2450"/>
                <w:sz w:val="16"/>
                <w:szCs w:val="16"/>
                <w:u w:val="single"/>
                <w:rtl w:val="0"/>
              </w:rPr>
              <w:t xml:space="preserve">contact@innivee.com</w:t>
            </w:r>
          </w:hyperlink>
          <w:r w:rsidDel="00000000" w:rsidR="00000000" w:rsidRPr="00000000">
            <w:rPr>
              <w:rtl w:val="0"/>
            </w:rPr>
          </w:r>
        </w:p>
        <w:p w:rsidR="00000000" w:rsidDel="00000000" w:rsidP="00000000" w:rsidRDefault="00000000" w:rsidRPr="00000000" w14:paraId="0000005C">
          <w:pPr>
            <w:widowControl w:val="0"/>
            <w:spacing w:line="240" w:lineRule="auto"/>
            <w:jc w:val="right"/>
            <w:rPr>
              <w:color w:val="666666"/>
              <w:sz w:val="16"/>
              <w:szCs w:val="16"/>
            </w:rPr>
          </w:pPr>
          <w:hyperlink r:id="rId2">
            <w:r w:rsidDel="00000000" w:rsidR="00000000" w:rsidRPr="00000000">
              <w:rPr>
                <w:color w:val="1b2450"/>
                <w:sz w:val="16"/>
                <w:szCs w:val="16"/>
                <w:u w:val="single"/>
                <w:rtl w:val="0"/>
              </w:rPr>
              <w:t xml:space="preserve">innivee.com</w:t>
            </w:r>
          </w:hyperlink>
          <w:r w:rsidDel="00000000" w:rsidR="00000000" w:rsidRPr="00000000">
            <w:rPr>
              <w:color w:val="666666"/>
              <w:sz w:val="16"/>
              <w:szCs w:val="16"/>
              <w:rtl w:val="0"/>
            </w:rPr>
            <w:t xml:space="preserve"> | @inniveestrategies</w:t>
          </w:r>
        </w:p>
      </w:tc>
    </w:tr>
  </w:tbl>
  <w:p w:rsidR="00000000" w:rsidDel="00000000" w:rsidP="00000000" w:rsidRDefault="00000000" w:rsidRPr="00000000" w14:paraId="0000005D">
    <w:pP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pPr>
    <w:r w:rsidDel="00000000" w:rsidR="00000000" w:rsidRPr="00000000">
      <w:rPr/>
      <w:pict>
        <v:shape id="WordPictureWatermark1" style="position:absolute;width:739.44pt;height:913.5760773480663pt;rotation:0;z-index:-503316481;mso-position-horizontal-relative:margin;mso-position-horizontal:absolute;margin-left:-149.04000000000002pt;mso-position-vertical-relative:margin;mso-position-vertical:absolute;margin-top:-56.16pt;" alt="" type="#_x0000_t75">
          <v:imagedata cropbottom="0f" cropleft="0f" cropright="0f" croptop="0f" r:id="rId1" o:title="image5.png"/>
        </v:shape>
      </w:pic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0</wp:posOffset>
              </wp:positionH>
              <wp:positionV relativeFrom="page">
                <wp:posOffset>-91439</wp:posOffset>
              </wp:positionV>
              <wp:extent cx="7781925" cy="219372"/>
              <wp:effectExtent b="0" l="0" r="0" t="0"/>
              <wp:wrapNone/>
              <wp:docPr id="2" name=""/>
              <a:graphic>
                <a:graphicData uri="http://schemas.microsoft.com/office/word/2010/wordprocessingShape">
                  <wps:wsp>
                    <wps:cNvSpPr/>
                    <wps:cNvPr id="2" name="Shape 2"/>
                    <wps:spPr>
                      <a:xfrm>
                        <a:off x="1841300" y="50025"/>
                        <a:ext cx="6404700" cy="160200"/>
                      </a:xfrm>
                      <a:prstGeom prst="rect">
                        <a:avLst/>
                      </a:prstGeom>
                      <a:solidFill>
                        <a:srgbClr val="DF5E35"/>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0</wp:posOffset>
              </wp:positionH>
              <wp:positionV relativeFrom="page">
                <wp:posOffset>-91439</wp:posOffset>
              </wp:positionV>
              <wp:extent cx="7781925" cy="219372"/>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7781925" cy="21937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pict>
        <v:shape id="WordPictureWatermark2" style="position:absolute;width:739.44pt;height:913.5760773480663pt;rotation:0;z-index:-503316481;mso-position-horizontal-relative:margin;mso-position-horizontal:absolute;margin-left:-149.04000000000002pt;mso-position-vertical-relative:margin;mso-position-vertical:absolute;margin-top:-65.8936pt;" alt="" type="#_x0000_t75">
          <v:imagedata cropbottom="0f" cropleft="0f" cropright="0f" croptop="0f" r:id="rId1" o:title="image5.png"/>
        </v:shape>
      </w:pic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0</wp:posOffset>
              </wp:positionH>
              <wp:positionV relativeFrom="page">
                <wp:posOffset>-91439</wp:posOffset>
              </wp:positionV>
              <wp:extent cx="7781925" cy="219372"/>
              <wp:effectExtent b="0" l="0" r="0" t="0"/>
              <wp:wrapNone/>
              <wp:docPr id="1" name=""/>
              <a:graphic>
                <a:graphicData uri="http://schemas.microsoft.com/office/word/2010/wordprocessingShape">
                  <wps:wsp>
                    <wps:cNvSpPr/>
                    <wps:cNvPr id="2" name="Shape 2"/>
                    <wps:spPr>
                      <a:xfrm>
                        <a:off x="1841300" y="50025"/>
                        <a:ext cx="6404700" cy="160200"/>
                      </a:xfrm>
                      <a:prstGeom prst="rect">
                        <a:avLst/>
                      </a:prstGeom>
                      <a:solidFill>
                        <a:srgbClr val="DF5E35"/>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0</wp:posOffset>
              </wp:positionH>
              <wp:positionV relativeFrom="page">
                <wp:posOffset>-91439</wp:posOffset>
              </wp:positionV>
              <wp:extent cx="7781925" cy="219372"/>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781925" cy="219372"/>
                      </a:xfrm>
                      <a:prstGeom prst="rect"/>
                      <a:ln/>
                    </pic:spPr>
                  </pic:pic>
                </a:graphicData>
              </a:graphic>
            </wp:anchor>
          </w:drawing>
        </mc:Fallback>
      </mc:AlternateContent>
    </w:r>
    <w:r w:rsidDel="00000000" w:rsidR="00000000" w:rsidRPr="00000000">
      <w:rPr/>
      <w:drawing>
        <wp:inline distB="114300" distT="114300" distL="114300" distR="114300">
          <wp:extent cx="1266825" cy="666750"/>
          <wp:effectExtent b="0" l="0" r="0" t="0"/>
          <wp:docPr descr="Innivee Strategies" id="3" name="image1.png"/>
          <a:graphic>
            <a:graphicData uri="http://schemas.openxmlformats.org/drawingml/2006/picture">
              <pic:pic>
                <pic:nvPicPr>
                  <pic:cNvPr descr="Innivee Strategies" id="0" name="image1.png"/>
                  <pic:cNvPicPr preferRelativeResize="0"/>
                </pic:nvPicPr>
                <pic:blipFill>
                  <a:blip r:embed="rId3"/>
                  <a:srcRect b="12500" l="0" r="0" t="0"/>
                  <a:stretch>
                    <a:fillRect/>
                  </a:stretch>
                </pic:blipFill>
                <pic:spPr>
                  <a:xfrm>
                    <a:off x="0" y="0"/>
                    <a:ext cx="1266825" cy="6667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Nunito" w:cs="Nunito" w:eastAsia="Nunito" w:hAnsi="Nunito"/>
        <w:b w:val="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Light" w:cs="Nunito Light" w:eastAsia="Nunito Light" w:hAnsi="Nunito Light"/>
        <w:color w:val="00001f"/>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rFonts w:ascii="Lexend" w:cs="Lexend" w:eastAsia="Lexend" w:hAnsi="Lexend"/>
      <w:b w:val="1"/>
      <w:color w:val="120746"/>
      <w:sz w:val="40"/>
      <w:szCs w:val="40"/>
    </w:rPr>
  </w:style>
  <w:style w:type="paragraph" w:styleId="Heading2">
    <w:name w:val="heading 2"/>
    <w:basedOn w:val="Normal"/>
    <w:next w:val="Normal"/>
    <w:pPr>
      <w:keepNext w:val="1"/>
      <w:keepLines w:val="1"/>
      <w:spacing w:after="240" w:before="240" w:line="240" w:lineRule="auto"/>
    </w:pPr>
    <w:rPr>
      <w:rFonts w:ascii="Lexend" w:cs="Lexend" w:eastAsia="Lexend" w:hAnsi="Lexend"/>
      <w:b w:val="1"/>
      <w:color w:val="242b62"/>
      <w:sz w:val="24"/>
      <w:szCs w:val="24"/>
    </w:rPr>
  </w:style>
  <w:style w:type="paragraph" w:styleId="Heading3">
    <w:name w:val="heading 3"/>
    <w:basedOn w:val="Normal"/>
    <w:next w:val="Normal"/>
    <w:pPr>
      <w:keepNext w:val="1"/>
      <w:keepLines w:val="1"/>
      <w:spacing w:after="80" w:before="320" w:line="240" w:lineRule="auto"/>
    </w:pPr>
    <w:rPr>
      <w:rFonts w:ascii="Lexend" w:cs="Lexend" w:eastAsia="Lexend" w:hAnsi="Lexend"/>
      <w:b w:val="1"/>
      <w:color w:val="242b62"/>
      <w:sz w:val="28"/>
      <w:szCs w:val="28"/>
    </w:rPr>
  </w:style>
  <w:style w:type="paragraph" w:styleId="Heading4">
    <w:name w:val="heading 4"/>
    <w:basedOn w:val="Normal"/>
    <w:next w:val="Normal"/>
    <w:pPr>
      <w:keepNext w:val="1"/>
      <w:keepLines w:val="1"/>
      <w:spacing w:after="80" w:before="280" w:line="240" w:lineRule="auto"/>
    </w:pPr>
    <w:rPr>
      <w:rFonts w:ascii="Lexend" w:cs="Lexend" w:eastAsia="Lexend" w:hAnsi="Lexend"/>
      <w:b w:val="1"/>
      <w:color w:val="242b62"/>
    </w:rPr>
  </w:style>
  <w:style w:type="paragraph" w:styleId="Heading5">
    <w:name w:val="heading 5"/>
    <w:basedOn w:val="Normal"/>
    <w:next w:val="Normal"/>
    <w:pPr>
      <w:keepNext w:val="1"/>
      <w:keepLines w:val="1"/>
    </w:pPr>
    <w:rPr>
      <w:rFonts w:ascii="Lexend" w:cs="Lexend" w:eastAsia="Lexend" w:hAnsi="Lexend"/>
      <w:b w:val="1"/>
      <w:color w:val="242b62"/>
      <w:sz w:val="20"/>
      <w:szCs w:val="20"/>
    </w:rPr>
  </w:style>
  <w:style w:type="paragraph" w:styleId="Heading6">
    <w:name w:val="heading 6"/>
    <w:basedOn w:val="Normal"/>
    <w:next w:val="Normal"/>
    <w:pPr>
      <w:keepNext w:val="1"/>
      <w:keepLines w:val="1"/>
    </w:pPr>
    <w:rPr>
      <w:rFonts w:ascii="Lexend" w:cs="Lexend" w:eastAsia="Lexend" w:hAnsi="Lexend"/>
      <w:b w:val="1"/>
      <w:color w:val="242b62"/>
      <w:sz w:val="16"/>
      <w:szCs w:val="16"/>
    </w:rPr>
  </w:style>
  <w:style w:type="paragraph" w:styleId="Title">
    <w:name w:val="Title"/>
    <w:basedOn w:val="Normal"/>
    <w:next w:val="Normal"/>
    <w:pPr>
      <w:keepNext w:val="1"/>
      <w:keepLines w:val="1"/>
      <w:spacing w:after="60" w:lineRule="auto"/>
    </w:pPr>
    <w:rPr>
      <w:rFonts w:ascii="Lexend" w:cs="Lexend" w:eastAsia="Lexend" w:hAnsi="Lexend"/>
      <w:b w:val="1"/>
      <w:sz w:val="52"/>
      <w:szCs w:val="52"/>
    </w:rPr>
  </w:style>
  <w:style w:type="paragraph" w:styleId="Subtitle">
    <w:name w:val="Subtitle"/>
    <w:basedOn w:val="Normal"/>
    <w:next w:val="Normal"/>
    <w:pPr>
      <w:keepNext w:val="1"/>
      <w:keepLines w:val="1"/>
      <w:spacing w:after="320" w:lineRule="auto"/>
    </w:pPr>
    <w:rPr>
      <w:rFonts w:ascii="Nunito SemiBold" w:cs="Nunito SemiBold" w:eastAsia="Nunito SemiBold" w:hAnsi="Nunito SemiBold"/>
      <w:color w:val="04002e"/>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ook.passkey.com/go/WELCOMEDOES"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Lexend-regular.ttf"/><Relationship Id="rId10" Type="http://schemas.openxmlformats.org/officeDocument/2006/relationships/font" Target="fonts/Nunito-boldItalic.ttf"/><Relationship Id="rId13" Type="http://schemas.openxmlformats.org/officeDocument/2006/relationships/font" Target="fonts/NunitoLight-regular.ttf"/><Relationship Id="rId12" Type="http://schemas.openxmlformats.org/officeDocument/2006/relationships/font" Target="fonts/Lexend-bold.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Nunito-italic.ttf"/><Relationship Id="rId15" Type="http://schemas.openxmlformats.org/officeDocument/2006/relationships/font" Target="fonts/NunitoLight-italic.ttf"/><Relationship Id="rId14" Type="http://schemas.openxmlformats.org/officeDocument/2006/relationships/font" Target="fonts/NunitoLight-bold.ttf"/><Relationship Id="rId16" Type="http://schemas.openxmlformats.org/officeDocument/2006/relationships/font" Target="fonts/NunitoLight-boldItalic.ttf"/><Relationship Id="rId5" Type="http://schemas.openxmlformats.org/officeDocument/2006/relationships/font" Target="fonts/LexendSemiBold-regular.ttf"/><Relationship Id="rId6" Type="http://schemas.openxmlformats.org/officeDocument/2006/relationships/font" Target="fonts/LexendSemiBold-bold.ttf"/><Relationship Id="rId7" Type="http://schemas.openxmlformats.org/officeDocument/2006/relationships/font" Target="fonts/Nunito-regular.ttf"/><Relationship Id="rId8" Type="http://schemas.openxmlformats.org/officeDocument/2006/relationships/font" Target="fonts/Nunito-bold.ttf"/></Relationships>
</file>

<file path=word/_rels/footer1.xml.rels><?xml version="1.0" encoding="UTF-8" standalone="yes"?><Relationships xmlns="http://schemas.openxmlformats.org/package/2006/relationships"><Relationship Id="rId1" Type="http://schemas.openxmlformats.org/officeDocument/2006/relationships/hyperlink" Target="mailto:contact@innive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ntact@innivee.com" TargetMode="External"/><Relationship Id="rId2" Type="http://schemas.openxmlformats.org/officeDocument/2006/relationships/hyperlink" Target="https://innive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